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51D0BB">
      <w:pPr>
        <w:spacing w:line="520" w:lineRule="exact"/>
        <w:ind w:left="880" w:hanging="880"/>
        <w:jc w:val="center"/>
        <w:rPr>
          <w:rFonts w:ascii="方正小标宋简体" w:hAnsi="方正小标宋简体" w:eastAsia="方正小标宋简体" w:cs="方正小标宋简体"/>
          <w:bCs/>
          <w:sz w:val="44"/>
          <w:szCs w:val="44"/>
        </w:rPr>
      </w:pPr>
    </w:p>
    <w:p w14:paraId="45F0B680">
      <w:pPr>
        <w:spacing w:line="520" w:lineRule="exact"/>
        <w:ind w:left="880" w:hanging="880"/>
        <w:jc w:val="center"/>
        <w:rPr>
          <w:rFonts w:ascii="方正小标宋简体" w:hAnsi="方正小标宋简体" w:eastAsia="方正小标宋简体" w:cs="方正小标宋简体"/>
          <w:bCs/>
          <w:sz w:val="44"/>
          <w:szCs w:val="44"/>
        </w:rPr>
      </w:pPr>
    </w:p>
    <w:p w14:paraId="3443CAC5">
      <w:pPr>
        <w:spacing w:line="520" w:lineRule="exact"/>
        <w:ind w:left="880" w:hanging="880"/>
        <w:jc w:val="center"/>
        <w:rPr>
          <w:rFonts w:ascii="方正小标宋简体" w:hAnsi="方正小标宋简体" w:eastAsia="方正小标宋简体" w:cs="方正小标宋简体"/>
          <w:bCs/>
          <w:sz w:val="44"/>
          <w:szCs w:val="44"/>
        </w:rPr>
      </w:pPr>
      <w:bookmarkStart w:id="42" w:name="_GoBack"/>
      <w:bookmarkEnd w:id="42"/>
    </w:p>
    <w:p w14:paraId="048B7D5E">
      <w:pPr>
        <w:spacing w:line="520" w:lineRule="exact"/>
        <w:ind w:left="880" w:hanging="880"/>
        <w:jc w:val="center"/>
        <w:rPr>
          <w:rFonts w:ascii="方正小标宋简体" w:hAnsi="方正小标宋简体" w:eastAsia="方正小标宋简体" w:cs="方正小标宋简体"/>
          <w:bCs/>
          <w:sz w:val="44"/>
          <w:szCs w:val="44"/>
        </w:rPr>
      </w:pPr>
    </w:p>
    <w:p w14:paraId="4FD044DF">
      <w:pPr>
        <w:spacing w:line="520" w:lineRule="exact"/>
        <w:ind w:left="880" w:hanging="880"/>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val="en-US" w:eastAsia="zh-CN"/>
        </w:rPr>
        <w:t>2025</w:t>
      </w:r>
      <w:r>
        <w:rPr>
          <w:rFonts w:hint="eastAsia" w:ascii="方正小标宋简体" w:hAnsi="方正小标宋简体" w:eastAsia="方正小标宋简体" w:cs="方正小标宋简体"/>
          <w:bCs/>
          <w:sz w:val="44"/>
          <w:szCs w:val="44"/>
        </w:rPr>
        <w:t>年度三513-劳务派遣人员经费</w:t>
      </w:r>
    </w:p>
    <w:p w14:paraId="2A343F6D">
      <w:pPr>
        <w:spacing w:line="520" w:lineRule="exact"/>
        <w:ind w:left="880" w:hanging="880"/>
        <w:jc w:val="center"/>
        <w:rPr>
          <w:rFonts w:ascii="方正小标宋_GBK" w:eastAsia="方正小标宋_GBK" w:cs="文星简黑体"/>
          <w:sz w:val="44"/>
          <w:szCs w:val="44"/>
        </w:rPr>
      </w:pPr>
      <w:r>
        <w:rPr>
          <w:rFonts w:hint="eastAsia" w:ascii="方正小标宋简体" w:hAnsi="方正小标宋简体" w:eastAsia="方正小标宋简体" w:cs="方正小标宋简体"/>
          <w:bCs/>
          <w:sz w:val="44"/>
          <w:szCs w:val="44"/>
        </w:rPr>
        <w:t>资金绩效自评抽查复核报告</w:t>
      </w:r>
    </w:p>
    <w:p w14:paraId="00324D75">
      <w:pPr>
        <w:spacing w:line="520" w:lineRule="exact"/>
        <w:ind w:left="1040" w:hanging="1040"/>
        <w:jc w:val="right"/>
        <w:rPr>
          <w:rFonts w:ascii="文星简黑体" w:eastAsia="文星简黑体"/>
          <w:sz w:val="52"/>
          <w:szCs w:val="52"/>
        </w:rPr>
      </w:pPr>
    </w:p>
    <w:p w14:paraId="77511C7D">
      <w:pPr>
        <w:pStyle w:val="16"/>
        <w:ind w:left="0" w:leftChars="0" w:firstLine="0" w:firstLineChars="0"/>
      </w:pPr>
    </w:p>
    <w:p w14:paraId="10A0D3A6">
      <w:pPr>
        <w:pStyle w:val="16"/>
      </w:pPr>
    </w:p>
    <w:p w14:paraId="4BBE8FAD">
      <w:pPr>
        <w:pStyle w:val="16"/>
      </w:pPr>
    </w:p>
    <w:p w14:paraId="54B0253D">
      <w:pPr>
        <w:pStyle w:val="16"/>
      </w:pPr>
    </w:p>
    <w:p w14:paraId="32ECBEE7">
      <w:pPr>
        <w:pStyle w:val="16"/>
        <w:ind w:firstLine="1040"/>
        <w:rPr>
          <w:rFonts w:ascii="文星简黑体" w:eastAsia="文星简黑体"/>
          <w:sz w:val="52"/>
          <w:szCs w:val="52"/>
        </w:rPr>
      </w:pPr>
    </w:p>
    <w:p w14:paraId="7D560C5F">
      <w:pPr>
        <w:pStyle w:val="16"/>
        <w:ind w:firstLine="1040"/>
        <w:rPr>
          <w:rFonts w:ascii="文星简黑体" w:eastAsia="文星简黑体"/>
          <w:sz w:val="52"/>
          <w:szCs w:val="52"/>
        </w:rPr>
      </w:pPr>
    </w:p>
    <w:p w14:paraId="368E61B6">
      <w:pPr>
        <w:pStyle w:val="16"/>
        <w:rPr>
          <w:rFonts w:ascii="文星简黑体" w:eastAsia="文星简黑体"/>
          <w:sz w:val="52"/>
          <w:szCs w:val="52"/>
        </w:rPr>
      </w:pPr>
    </w:p>
    <w:p w14:paraId="0C21AE8A">
      <w:pPr>
        <w:pStyle w:val="16"/>
        <w:ind w:firstLine="1040"/>
        <w:rPr>
          <w:rFonts w:ascii="文星简黑体" w:eastAsia="文星简黑体"/>
          <w:sz w:val="52"/>
          <w:szCs w:val="52"/>
        </w:rPr>
      </w:pPr>
    </w:p>
    <w:p w14:paraId="64BCF2F9">
      <w:pPr>
        <w:spacing w:line="520" w:lineRule="exact"/>
        <w:ind w:left="1040" w:hanging="1040"/>
        <w:jc w:val="center"/>
        <w:rPr>
          <w:rFonts w:ascii="文星简黑体" w:eastAsia="文星简黑体"/>
          <w:sz w:val="52"/>
          <w:szCs w:val="52"/>
        </w:rPr>
      </w:pPr>
    </w:p>
    <w:p w14:paraId="38110B26">
      <w:pPr>
        <w:spacing w:before="120" w:after="120" w:line="520" w:lineRule="exact"/>
        <w:ind w:left="2240" w:hanging="2240" w:hangingChars="700"/>
        <w:rPr>
          <w:rFonts w:ascii="黑体" w:hAnsi="黑体" w:eastAsia="黑体"/>
          <w:sz w:val="32"/>
          <w:szCs w:val="32"/>
        </w:rPr>
      </w:pPr>
      <w:r>
        <w:rPr>
          <w:rFonts w:hint="eastAsia" w:ascii="黑体" w:hAnsi="黑体" w:eastAsia="黑体" w:cs="文星简黑体"/>
          <w:sz w:val="32"/>
          <w:szCs w:val="32"/>
        </w:rPr>
        <w:t>被评价单位：</w:t>
      </w:r>
      <w:r>
        <w:rPr>
          <w:rFonts w:ascii="黑体" w:hAnsi="黑体" w:eastAsia="黑体"/>
          <w:sz w:val="32"/>
          <w:szCs w:val="32"/>
        </w:rPr>
        <w:t xml:space="preserve"> </w:t>
      </w:r>
      <w:r>
        <w:rPr>
          <w:rFonts w:hint="eastAsia" w:ascii="黑体" w:hAnsi="黑体" w:eastAsia="黑体"/>
          <w:sz w:val="32"/>
          <w:szCs w:val="32"/>
        </w:rPr>
        <w:t xml:space="preserve">青岛市黄岛区人民检察院检察事务中心        </w:t>
      </w:r>
    </w:p>
    <w:p w14:paraId="74CEF7AC">
      <w:pPr>
        <w:spacing w:before="120" w:after="120" w:line="520" w:lineRule="exact"/>
        <w:ind w:left="640" w:hanging="640"/>
        <w:rPr>
          <w:rFonts w:hint="eastAsia" w:ascii="黑体" w:hAnsi="黑体" w:eastAsia="黑体" w:cs="文星简黑体"/>
          <w:sz w:val="32"/>
          <w:szCs w:val="32"/>
          <w:lang w:eastAsia="zh-CN"/>
        </w:rPr>
      </w:pPr>
      <w:r>
        <w:rPr>
          <w:rFonts w:hint="eastAsia" w:ascii="黑体" w:hAnsi="黑体" w:eastAsia="黑体" w:cs="文星简黑体"/>
          <w:spacing w:val="53"/>
          <w:kern w:val="0"/>
          <w:sz w:val="32"/>
          <w:szCs w:val="32"/>
        </w:rPr>
        <w:t>评价机</w:t>
      </w:r>
      <w:r>
        <w:rPr>
          <w:rFonts w:hint="eastAsia" w:ascii="黑体" w:hAnsi="黑体" w:eastAsia="黑体" w:cs="文星简黑体"/>
          <w:spacing w:val="1"/>
          <w:kern w:val="0"/>
          <w:sz w:val="32"/>
          <w:szCs w:val="32"/>
        </w:rPr>
        <w:t>构</w:t>
      </w:r>
      <w:r>
        <w:rPr>
          <w:rFonts w:hint="eastAsia" w:ascii="黑体" w:hAnsi="黑体" w:eastAsia="黑体" w:cs="文星简黑体"/>
          <w:sz w:val="32"/>
          <w:szCs w:val="32"/>
        </w:rPr>
        <w:t>：</w:t>
      </w:r>
      <w:r>
        <w:rPr>
          <w:rFonts w:ascii="黑体" w:hAnsi="黑体" w:eastAsia="黑体"/>
          <w:sz w:val="32"/>
          <w:szCs w:val="32"/>
        </w:rPr>
        <w:t xml:space="preserve"> </w:t>
      </w:r>
      <w:r>
        <w:rPr>
          <w:rFonts w:hint="eastAsia" w:ascii="黑体" w:hAnsi="黑体" w:eastAsia="黑体"/>
          <w:sz w:val="32"/>
          <w:szCs w:val="32"/>
          <w:lang w:eastAsia="zh-CN"/>
        </w:rPr>
        <w:t>青岛市黄岛区财政局</w:t>
      </w:r>
    </w:p>
    <w:p w14:paraId="7B122DAC">
      <w:pPr>
        <w:spacing w:before="120" w:after="120"/>
        <w:jc w:val="center"/>
        <w:rPr>
          <w:rFonts w:ascii="黑体" w:hAnsi="黑体" w:eastAsia="黑体" w:cs="文星简黑体"/>
          <w:sz w:val="32"/>
          <w:szCs w:val="32"/>
          <w:highlight w:val="none"/>
        </w:rPr>
      </w:pPr>
      <w:r>
        <w:rPr>
          <w:rFonts w:hint="eastAsia" w:ascii="黑体" w:hAnsi="黑体" w:eastAsia="黑体" w:cs="文星简黑体"/>
          <w:sz w:val="32"/>
          <w:szCs w:val="32"/>
          <w:highlight w:val="none"/>
        </w:rPr>
        <w:t>202</w:t>
      </w:r>
      <w:r>
        <w:rPr>
          <w:rFonts w:hint="eastAsia" w:ascii="黑体" w:hAnsi="黑体" w:eastAsia="黑体" w:cs="文星简黑体"/>
          <w:sz w:val="32"/>
          <w:szCs w:val="32"/>
          <w:highlight w:val="none"/>
          <w:lang w:val="en-US" w:eastAsia="zh-CN"/>
        </w:rPr>
        <w:t>6</w:t>
      </w:r>
      <w:r>
        <w:rPr>
          <w:rFonts w:hint="eastAsia" w:ascii="黑体" w:hAnsi="黑体" w:eastAsia="黑体" w:cs="文星简黑体"/>
          <w:sz w:val="32"/>
          <w:szCs w:val="32"/>
          <w:highlight w:val="none"/>
        </w:rPr>
        <w:t xml:space="preserve">年 </w:t>
      </w:r>
      <w:r>
        <w:rPr>
          <w:rFonts w:hint="eastAsia" w:ascii="黑体" w:hAnsi="黑体" w:eastAsia="黑体" w:cs="文星简黑体"/>
          <w:sz w:val="32"/>
          <w:szCs w:val="32"/>
          <w:highlight w:val="none"/>
          <w:lang w:val="en-US" w:eastAsia="zh-CN"/>
        </w:rPr>
        <w:t>6</w:t>
      </w:r>
      <w:r>
        <w:rPr>
          <w:rFonts w:hint="eastAsia" w:ascii="黑体" w:hAnsi="黑体" w:eastAsia="黑体" w:cs="文星简黑体"/>
          <w:sz w:val="32"/>
          <w:szCs w:val="32"/>
          <w:highlight w:val="none"/>
        </w:rPr>
        <w:t>月</w:t>
      </w:r>
    </w:p>
    <w:p w14:paraId="138EFC8F">
      <w:pPr>
        <w:adjustRightInd w:val="0"/>
        <w:snapToGrid w:val="0"/>
        <w:spacing w:line="360" w:lineRule="auto"/>
        <w:jc w:val="center"/>
        <w:rPr>
          <w:rFonts w:ascii="黑体" w:hAnsi="黑体" w:eastAsia="黑体" w:cs="黑体"/>
          <w:sz w:val="32"/>
          <w:szCs w:val="32"/>
        </w:rPr>
      </w:pPr>
    </w:p>
    <w:p w14:paraId="741242B1">
      <w:pPr>
        <w:adjustRightInd w:val="0"/>
        <w:snapToGrid w:val="0"/>
        <w:spacing w:line="360" w:lineRule="auto"/>
        <w:ind w:left="880" w:hanging="880"/>
        <w:jc w:val="center"/>
        <w:rPr>
          <w:rFonts w:ascii="方正小标宋简体" w:hAnsi="方正小标宋简体" w:eastAsia="方正小标宋简体" w:cs="方正小标宋简体"/>
          <w:bCs/>
          <w:sz w:val="44"/>
          <w:szCs w:val="44"/>
        </w:rPr>
      </w:pPr>
    </w:p>
    <w:p w14:paraId="03A22349">
      <w:pPr>
        <w:adjustRightInd w:val="0"/>
        <w:snapToGrid w:val="0"/>
        <w:spacing w:line="360" w:lineRule="auto"/>
        <w:ind w:left="880" w:hanging="880"/>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目  录</w:t>
      </w:r>
    </w:p>
    <w:p w14:paraId="01B2A5EB">
      <w:pPr>
        <w:pStyle w:val="10"/>
        <w:tabs>
          <w:tab w:val="right" w:leader="dot" w:pos="8306"/>
        </w:tabs>
        <w:adjustRightInd w:val="0"/>
        <w:spacing w:line="360" w:lineRule="auto"/>
        <w:rPr>
          <w:sz w:val="32"/>
          <w:szCs w:val="32"/>
        </w:rPr>
      </w:pPr>
      <w:r>
        <w:rPr>
          <w:rFonts w:ascii="Times New Roman" w:hAnsi="Times New Roman" w:eastAsia="宋体"/>
          <w:sz w:val="32"/>
          <w:szCs w:val="32"/>
        </w:rPr>
        <w:fldChar w:fldCharType="begin"/>
      </w:r>
      <w:r>
        <w:rPr>
          <w:rFonts w:ascii="Times New Roman" w:hAnsi="Times New Roman" w:eastAsia="宋体"/>
          <w:sz w:val="32"/>
          <w:szCs w:val="32"/>
        </w:rPr>
        <w:instrText xml:space="preserve">TOC \o "1-3" \h \u </w:instrText>
      </w:r>
      <w:r>
        <w:rPr>
          <w:rFonts w:ascii="Times New Roman" w:hAnsi="Times New Roman" w:eastAsia="宋体"/>
          <w:sz w:val="32"/>
          <w:szCs w:val="32"/>
        </w:rPr>
        <w:fldChar w:fldCharType="separate"/>
      </w:r>
      <w:r>
        <w:fldChar w:fldCharType="begin"/>
      </w:r>
      <w:r>
        <w:instrText xml:space="preserve"> HYPERLINK \l "_Toc20850" </w:instrText>
      </w:r>
      <w:r>
        <w:fldChar w:fldCharType="separate"/>
      </w:r>
      <w:r>
        <w:rPr>
          <w:rFonts w:hint="eastAsia" w:ascii="黑体" w:hAnsi="黑体" w:eastAsia="黑体" w:cs="黑体"/>
          <w:sz w:val="32"/>
          <w:szCs w:val="32"/>
        </w:rPr>
        <w:t>一、组织情况（抽查组织情况）</w:t>
      </w:r>
      <w:r>
        <w:rPr>
          <w:sz w:val="32"/>
          <w:szCs w:val="32"/>
        </w:rPr>
        <w:tab/>
      </w:r>
      <w:r>
        <w:rPr>
          <w:sz w:val="32"/>
          <w:szCs w:val="32"/>
        </w:rPr>
        <w:fldChar w:fldCharType="begin"/>
      </w:r>
      <w:r>
        <w:rPr>
          <w:sz w:val="32"/>
          <w:szCs w:val="32"/>
        </w:rPr>
        <w:instrText xml:space="preserve"> PAGEREF _Toc20850 \h </w:instrText>
      </w:r>
      <w:r>
        <w:rPr>
          <w:sz w:val="32"/>
          <w:szCs w:val="32"/>
        </w:rPr>
        <w:fldChar w:fldCharType="separate"/>
      </w:r>
      <w:r>
        <w:rPr>
          <w:sz w:val="32"/>
          <w:szCs w:val="32"/>
        </w:rPr>
        <w:t>1</w:t>
      </w:r>
      <w:r>
        <w:rPr>
          <w:sz w:val="32"/>
          <w:szCs w:val="32"/>
        </w:rPr>
        <w:fldChar w:fldCharType="end"/>
      </w:r>
      <w:r>
        <w:rPr>
          <w:sz w:val="32"/>
          <w:szCs w:val="32"/>
        </w:rPr>
        <w:fldChar w:fldCharType="end"/>
      </w:r>
    </w:p>
    <w:p w14:paraId="3F9DE842">
      <w:pPr>
        <w:pStyle w:val="11"/>
        <w:tabs>
          <w:tab w:val="right" w:leader="dot" w:pos="8306"/>
        </w:tabs>
        <w:adjustRightInd w:val="0"/>
        <w:snapToGrid w:val="0"/>
        <w:spacing w:line="360" w:lineRule="auto"/>
        <w:ind w:firstLine="300" w:firstLineChars="100"/>
        <w:rPr>
          <w:sz w:val="32"/>
          <w:szCs w:val="32"/>
        </w:rPr>
      </w:pPr>
      <w:r>
        <w:fldChar w:fldCharType="begin"/>
      </w:r>
      <w:r>
        <w:instrText xml:space="preserve"> HYPERLINK \l "_Toc23777" </w:instrText>
      </w:r>
      <w:r>
        <w:fldChar w:fldCharType="separate"/>
      </w:r>
      <w:r>
        <w:rPr>
          <w:rFonts w:hint="eastAsia" w:ascii="Cambria" w:hAnsi="Cambria" w:eastAsia="楷体"/>
          <w:kern w:val="0"/>
          <w:sz w:val="32"/>
          <w:szCs w:val="32"/>
        </w:rPr>
        <w:t>（一）抽查复核目的和对象</w:t>
      </w:r>
      <w:r>
        <w:rPr>
          <w:sz w:val="32"/>
          <w:szCs w:val="32"/>
        </w:rPr>
        <w:tab/>
      </w:r>
      <w:r>
        <w:rPr>
          <w:rFonts w:ascii="仿宋_GB2312" w:hAnsi="Calibri"/>
          <w:color w:val="000000"/>
          <w:sz w:val="32"/>
          <w:szCs w:val="32"/>
        </w:rPr>
        <w:fldChar w:fldCharType="begin"/>
      </w:r>
      <w:r>
        <w:rPr>
          <w:rFonts w:ascii="仿宋_GB2312" w:hAnsi="Calibri"/>
          <w:color w:val="000000"/>
          <w:sz w:val="32"/>
          <w:szCs w:val="32"/>
        </w:rPr>
        <w:instrText xml:space="preserve"> PAGEREF _Toc23777 \h </w:instrText>
      </w:r>
      <w:r>
        <w:rPr>
          <w:rFonts w:ascii="仿宋_GB2312" w:hAnsi="Calibri"/>
          <w:color w:val="000000"/>
          <w:sz w:val="32"/>
          <w:szCs w:val="32"/>
        </w:rPr>
        <w:fldChar w:fldCharType="separate"/>
      </w:r>
      <w:r>
        <w:rPr>
          <w:rFonts w:ascii="仿宋_GB2312" w:hAnsi="Calibri"/>
          <w:color w:val="000000"/>
          <w:sz w:val="32"/>
          <w:szCs w:val="32"/>
        </w:rPr>
        <w:t>1</w:t>
      </w:r>
      <w:r>
        <w:rPr>
          <w:rFonts w:ascii="仿宋_GB2312" w:hAnsi="Calibri"/>
          <w:color w:val="000000"/>
          <w:sz w:val="32"/>
          <w:szCs w:val="32"/>
        </w:rPr>
        <w:fldChar w:fldCharType="end"/>
      </w:r>
      <w:r>
        <w:rPr>
          <w:rFonts w:ascii="仿宋_GB2312" w:hAnsi="Calibri"/>
          <w:color w:val="000000"/>
          <w:sz w:val="32"/>
          <w:szCs w:val="32"/>
        </w:rPr>
        <w:fldChar w:fldCharType="end"/>
      </w:r>
    </w:p>
    <w:p w14:paraId="650FC826">
      <w:pPr>
        <w:pStyle w:val="11"/>
        <w:tabs>
          <w:tab w:val="right" w:leader="dot" w:pos="8306"/>
        </w:tabs>
        <w:adjustRightInd w:val="0"/>
        <w:snapToGrid w:val="0"/>
        <w:spacing w:line="360" w:lineRule="auto"/>
        <w:ind w:firstLine="300" w:firstLineChars="100"/>
        <w:rPr>
          <w:sz w:val="32"/>
          <w:szCs w:val="32"/>
        </w:rPr>
      </w:pPr>
      <w:r>
        <w:fldChar w:fldCharType="begin"/>
      </w:r>
      <w:r>
        <w:instrText xml:space="preserve"> HYPERLINK \l "_Toc3668" </w:instrText>
      </w:r>
      <w:r>
        <w:fldChar w:fldCharType="separate"/>
      </w:r>
      <w:r>
        <w:rPr>
          <w:rFonts w:hint="eastAsia" w:ascii="Cambria" w:hAnsi="Cambria" w:eastAsia="楷体"/>
          <w:kern w:val="0"/>
          <w:sz w:val="32"/>
          <w:szCs w:val="32"/>
        </w:rPr>
        <w:t>（二）</w:t>
      </w:r>
      <w:r>
        <w:rPr>
          <w:rFonts w:hint="eastAsia" w:ascii="Cambria" w:hAnsi="Cambria" w:eastAsia="楷体" w:cstheme="majorBidi"/>
          <w:kern w:val="0"/>
          <w:sz w:val="32"/>
          <w:szCs w:val="32"/>
        </w:rPr>
        <w:t>抽查复核</w:t>
      </w:r>
      <w:r>
        <w:rPr>
          <w:rFonts w:hint="eastAsia" w:ascii="Cambria" w:hAnsi="Cambria" w:eastAsia="楷体"/>
          <w:kern w:val="0"/>
          <w:sz w:val="32"/>
          <w:szCs w:val="32"/>
        </w:rPr>
        <w:t>依据、方法和标准</w:t>
      </w:r>
      <w:r>
        <w:rPr>
          <w:sz w:val="32"/>
          <w:szCs w:val="32"/>
        </w:rPr>
        <w:tab/>
      </w:r>
      <w:r>
        <w:rPr>
          <w:rFonts w:ascii="仿宋_GB2312" w:hAnsi="Calibri"/>
          <w:color w:val="000000"/>
          <w:sz w:val="32"/>
          <w:szCs w:val="32"/>
        </w:rPr>
        <w:fldChar w:fldCharType="begin"/>
      </w:r>
      <w:r>
        <w:rPr>
          <w:rFonts w:ascii="仿宋_GB2312" w:hAnsi="Calibri"/>
          <w:color w:val="000000"/>
          <w:sz w:val="32"/>
          <w:szCs w:val="32"/>
        </w:rPr>
        <w:instrText xml:space="preserve"> PAGEREF _Toc3668 \h </w:instrText>
      </w:r>
      <w:r>
        <w:rPr>
          <w:rFonts w:ascii="仿宋_GB2312" w:hAnsi="Calibri"/>
          <w:color w:val="000000"/>
          <w:sz w:val="32"/>
          <w:szCs w:val="32"/>
        </w:rPr>
        <w:fldChar w:fldCharType="separate"/>
      </w:r>
      <w:r>
        <w:rPr>
          <w:rFonts w:ascii="仿宋_GB2312" w:hAnsi="Calibri"/>
          <w:color w:val="000000"/>
          <w:sz w:val="32"/>
          <w:szCs w:val="32"/>
        </w:rPr>
        <w:t>1</w:t>
      </w:r>
      <w:r>
        <w:rPr>
          <w:rFonts w:ascii="仿宋_GB2312" w:hAnsi="Calibri"/>
          <w:color w:val="000000"/>
          <w:sz w:val="32"/>
          <w:szCs w:val="32"/>
        </w:rPr>
        <w:fldChar w:fldCharType="end"/>
      </w:r>
      <w:r>
        <w:rPr>
          <w:rFonts w:ascii="仿宋_GB2312" w:hAnsi="Calibri"/>
          <w:color w:val="000000"/>
          <w:sz w:val="32"/>
          <w:szCs w:val="32"/>
        </w:rPr>
        <w:fldChar w:fldCharType="end"/>
      </w:r>
    </w:p>
    <w:p w14:paraId="21E45319">
      <w:pPr>
        <w:pStyle w:val="10"/>
        <w:tabs>
          <w:tab w:val="right" w:leader="dot" w:pos="8306"/>
        </w:tabs>
        <w:adjustRightInd w:val="0"/>
        <w:spacing w:line="360" w:lineRule="auto"/>
        <w:rPr>
          <w:sz w:val="32"/>
          <w:szCs w:val="32"/>
        </w:rPr>
      </w:pPr>
      <w:r>
        <w:fldChar w:fldCharType="begin"/>
      </w:r>
      <w:r>
        <w:instrText xml:space="preserve"> HYPERLINK \l "_Toc17066" </w:instrText>
      </w:r>
      <w:r>
        <w:fldChar w:fldCharType="separate"/>
      </w:r>
      <w:r>
        <w:rPr>
          <w:rFonts w:hint="eastAsia" w:ascii="黑体" w:hAnsi="黑体" w:eastAsia="黑体" w:cs="黑体"/>
          <w:sz w:val="32"/>
          <w:szCs w:val="32"/>
        </w:rPr>
        <w:t>二、绩效自评开展情况</w:t>
      </w:r>
      <w:r>
        <w:rPr>
          <w:sz w:val="32"/>
          <w:szCs w:val="32"/>
        </w:rPr>
        <w:tab/>
      </w:r>
      <w:r>
        <w:rPr>
          <w:sz w:val="32"/>
          <w:szCs w:val="32"/>
        </w:rPr>
        <w:fldChar w:fldCharType="begin"/>
      </w:r>
      <w:r>
        <w:rPr>
          <w:sz w:val="32"/>
          <w:szCs w:val="32"/>
        </w:rPr>
        <w:instrText xml:space="preserve"> PAGEREF _Toc17066 \h </w:instrText>
      </w:r>
      <w:r>
        <w:rPr>
          <w:sz w:val="32"/>
          <w:szCs w:val="32"/>
        </w:rPr>
        <w:fldChar w:fldCharType="separate"/>
      </w:r>
      <w:r>
        <w:rPr>
          <w:sz w:val="32"/>
          <w:szCs w:val="32"/>
        </w:rPr>
        <w:t>2</w:t>
      </w:r>
      <w:r>
        <w:rPr>
          <w:sz w:val="32"/>
          <w:szCs w:val="32"/>
        </w:rPr>
        <w:fldChar w:fldCharType="end"/>
      </w:r>
      <w:r>
        <w:rPr>
          <w:sz w:val="32"/>
          <w:szCs w:val="32"/>
        </w:rPr>
        <w:fldChar w:fldCharType="end"/>
      </w:r>
    </w:p>
    <w:p w14:paraId="6E1F64DF">
      <w:pPr>
        <w:pStyle w:val="11"/>
        <w:tabs>
          <w:tab w:val="right" w:leader="dot" w:pos="8306"/>
        </w:tabs>
        <w:adjustRightInd w:val="0"/>
        <w:snapToGrid w:val="0"/>
        <w:spacing w:line="360" w:lineRule="auto"/>
        <w:ind w:left="739" w:leftChars="352"/>
        <w:rPr>
          <w:sz w:val="32"/>
          <w:szCs w:val="32"/>
        </w:rPr>
      </w:pPr>
      <w:r>
        <w:fldChar w:fldCharType="begin"/>
      </w:r>
      <w:r>
        <w:instrText xml:space="preserve"> HYPERLINK \l "_Toc16329" </w:instrText>
      </w:r>
      <w:r>
        <w:fldChar w:fldCharType="separate"/>
      </w:r>
      <w:r>
        <w:rPr>
          <w:rFonts w:hint="eastAsia" w:ascii="楷体_GB2312" w:hAnsi="楷体_GB2312" w:eastAsia="楷体_GB2312" w:cs="楷体_GB2312"/>
          <w:spacing w:val="-4"/>
          <w:sz w:val="32"/>
          <w:szCs w:val="32"/>
        </w:rPr>
        <w:t>（一）绩效自评整体情况（单位自评情况，不是抽查复核情况）</w:t>
      </w:r>
      <w:r>
        <w:rPr>
          <w:sz w:val="32"/>
          <w:szCs w:val="32"/>
        </w:rPr>
        <w:tab/>
      </w:r>
      <w:r>
        <w:rPr>
          <w:rFonts w:ascii="仿宋_GB2312" w:hAnsi="Calibri"/>
          <w:color w:val="000000"/>
          <w:sz w:val="32"/>
          <w:szCs w:val="32"/>
        </w:rPr>
        <w:fldChar w:fldCharType="begin"/>
      </w:r>
      <w:r>
        <w:rPr>
          <w:rFonts w:ascii="仿宋_GB2312" w:hAnsi="Calibri"/>
          <w:color w:val="000000"/>
          <w:sz w:val="32"/>
          <w:szCs w:val="32"/>
        </w:rPr>
        <w:instrText xml:space="preserve"> PAGEREF _Toc16329 \h </w:instrText>
      </w:r>
      <w:r>
        <w:rPr>
          <w:rFonts w:ascii="仿宋_GB2312" w:hAnsi="Calibri"/>
          <w:color w:val="000000"/>
          <w:sz w:val="32"/>
          <w:szCs w:val="32"/>
        </w:rPr>
        <w:fldChar w:fldCharType="separate"/>
      </w:r>
      <w:r>
        <w:rPr>
          <w:rFonts w:ascii="仿宋_GB2312" w:hAnsi="Calibri"/>
          <w:color w:val="000000"/>
          <w:sz w:val="32"/>
          <w:szCs w:val="32"/>
        </w:rPr>
        <w:t>2</w:t>
      </w:r>
      <w:r>
        <w:rPr>
          <w:rFonts w:ascii="仿宋_GB2312" w:hAnsi="Calibri"/>
          <w:color w:val="000000"/>
          <w:sz w:val="32"/>
          <w:szCs w:val="32"/>
        </w:rPr>
        <w:fldChar w:fldCharType="end"/>
      </w:r>
      <w:r>
        <w:rPr>
          <w:rFonts w:ascii="仿宋_GB2312" w:hAnsi="Calibri"/>
          <w:color w:val="000000"/>
          <w:sz w:val="32"/>
          <w:szCs w:val="32"/>
        </w:rPr>
        <w:fldChar w:fldCharType="end"/>
      </w:r>
    </w:p>
    <w:p w14:paraId="673E8AD1">
      <w:pPr>
        <w:pStyle w:val="11"/>
        <w:tabs>
          <w:tab w:val="right" w:leader="dot" w:pos="8306"/>
        </w:tabs>
        <w:adjustRightInd w:val="0"/>
        <w:snapToGrid w:val="0"/>
        <w:spacing w:line="360" w:lineRule="auto"/>
        <w:ind w:firstLine="300" w:firstLineChars="100"/>
        <w:rPr>
          <w:sz w:val="32"/>
          <w:szCs w:val="32"/>
        </w:rPr>
      </w:pPr>
      <w:r>
        <w:fldChar w:fldCharType="begin"/>
      </w:r>
      <w:r>
        <w:instrText xml:space="preserve"> HYPERLINK \l "_Toc23927" </w:instrText>
      </w:r>
      <w:r>
        <w:fldChar w:fldCharType="separate"/>
      </w:r>
      <w:r>
        <w:rPr>
          <w:rFonts w:hint="eastAsia" w:ascii="楷体_GB2312" w:hAnsi="楷体_GB2312" w:eastAsia="楷体_GB2312" w:cs="楷体_GB2312"/>
          <w:spacing w:val="-4"/>
          <w:sz w:val="32"/>
          <w:szCs w:val="32"/>
        </w:rPr>
        <w:t>（二）主要成效</w:t>
      </w:r>
      <w:r>
        <w:rPr>
          <w:sz w:val="32"/>
          <w:szCs w:val="32"/>
        </w:rPr>
        <w:tab/>
      </w:r>
      <w:r>
        <w:rPr>
          <w:rFonts w:ascii="仿宋_GB2312" w:hAnsi="Calibri"/>
          <w:color w:val="000000"/>
          <w:sz w:val="32"/>
          <w:szCs w:val="32"/>
        </w:rPr>
        <w:fldChar w:fldCharType="begin"/>
      </w:r>
      <w:r>
        <w:rPr>
          <w:rFonts w:ascii="仿宋_GB2312" w:hAnsi="Calibri"/>
          <w:color w:val="000000"/>
          <w:sz w:val="32"/>
          <w:szCs w:val="32"/>
        </w:rPr>
        <w:instrText xml:space="preserve"> PAGEREF _Toc23927 \h </w:instrText>
      </w:r>
      <w:r>
        <w:rPr>
          <w:rFonts w:ascii="仿宋_GB2312" w:hAnsi="Calibri"/>
          <w:color w:val="000000"/>
          <w:sz w:val="32"/>
          <w:szCs w:val="32"/>
        </w:rPr>
        <w:fldChar w:fldCharType="separate"/>
      </w:r>
      <w:r>
        <w:rPr>
          <w:rFonts w:ascii="仿宋_GB2312" w:hAnsi="Calibri"/>
          <w:color w:val="000000"/>
          <w:sz w:val="32"/>
          <w:szCs w:val="32"/>
        </w:rPr>
        <w:t>2</w:t>
      </w:r>
      <w:r>
        <w:rPr>
          <w:rFonts w:ascii="仿宋_GB2312" w:hAnsi="Calibri"/>
          <w:color w:val="000000"/>
          <w:sz w:val="32"/>
          <w:szCs w:val="32"/>
        </w:rPr>
        <w:fldChar w:fldCharType="end"/>
      </w:r>
      <w:r>
        <w:rPr>
          <w:rFonts w:ascii="仿宋_GB2312" w:hAnsi="Calibri"/>
          <w:color w:val="000000"/>
          <w:sz w:val="32"/>
          <w:szCs w:val="32"/>
        </w:rPr>
        <w:fldChar w:fldCharType="end"/>
      </w:r>
    </w:p>
    <w:p w14:paraId="7BA3AE0C">
      <w:pPr>
        <w:pStyle w:val="10"/>
        <w:tabs>
          <w:tab w:val="right" w:leader="dot" w:pos="8306"/>
        </w:tabs>
        <w:adjustRightInd w:val="0"/>
        <w:spacing w:line="360" w:lineRule="auto"/>
        <w:rPr>
          <w:sz w:val="32"/>
          <w:szCs w:val="32"/>
        </w:rPr>
      </w:pPr>
      <w:r>
        <w:fldChar w:fldCharType="begin"/>
      </w:r>
      <w:r>
        <w:instrText xml:space="preserve"> HYPERLINK \l "_Toc23295" </w:instrText>
      </w:r>
      <w:r>
        <w:fldChar w:fldCharType="separate"/>
      </w:r>
      <w:r>
        <w:rPr>
          <w:rFonts w:hint="eastAsia" w:ascii="黑体" w:hAnsi="黑体" w:eastAsia="黑体" w:cs="黑体"/>
          <w:sz w:val="32"/>
          <w:szCs w:val="32"/>
        </w:rPr>
        <w:t>三、绩效自评抽查复核情况</w:t>
      </w:r>
      <w:r>
        <w:rPr>
          <w:sz w:val="32"/>
          <w:szCs w:val="32"/>
        </w:rPr>
        <w:tab/>
      </w:r>
      <w:r>
        <w:rPr>
          <w:sz w:val="32"/>
          <w:szCs w:val="32"/>
        </w:rPr>
        <w:fldChar w:fldCharType="begin"/>
      </w:r>
      <w:r>
        <w:rPr>
          <w:sz w:val="32"/>
          <w:szCs w:val="32"/>
        </w:rPr>
        <w:instrText xml:space="preserve"> PAGEREF _Toc23295 \h </w:instrText>
      </w:r>
      <w:r>
        <w:rPr>
          <w:sz w:val="32"/>
          <w:szCs w:val="32"/>
        </w:rPr>
        <w:fldChar w:fldCharType="separate"/>
      </w:r>
      <w:r>
        <w:rPr>
          <w:sz w:val="32"/>
          <w:szCs w:val="32"/>
        </w:rPr>
        <w:t>2</w:t>
      </w:r>
      <w:r>
        <w:rPr>
          <w:sz w:val="32"/>
          <w:szCs w:val="32"/>
        </w:rPr>
        <w:fldChar w:fldCharType="end"/>
      </w:r>
      <w:r>
        <w:rPr>
          <w:sz w:val="32"/>
          <w:szCs w:val="32"/>
        </w:rPr>
        <w:fldChar w:fldCharType="end"/>
      </w:r>
    </w:p>
    <w:p w14:paraId="29373F51">
      <w:pPr>
        <w:pStyle w:val="11"/>
        <w:tabs>
          <w:tab w:val="right" w:leader="dot" w:pos="8306"/>
        </w:tabs>
        <w:adjustRightInd w:val="0"/>
        <w:snapToGrid w:val="0"/>
        <w:spacing w:line="360" w:lineRule="auto"/>
        <w:ind w:firstLine="300" w:firstLineChars="100"/>
        <w:rPr>
          <w:sz w:val="32"/>
          <w:szCs w:val="32"/>
        </w:rPr>
      </w:pPr>
      <w:r>
        <w:fldChar w:fldCharType="begin"/>
      </w:r>
      <w:r>
        <w:instrText xml:space="preserve"> HYPERLINK \l "_Toc23965" </w:instrText>
      </w:r>
      <w:r>
        <w:fldChar w:fldCharType="separate"/>
      </w:r>
      <w:r>
        <w:rPr>
          <w:rFonts w:hint="eastAsia" w:ascii="楷体_GB2312" w:hAnsi="楷体_GB2312" w:eastAsia="楷体_GB2312" w:cs="楷体_GB2312"/>
          <w:sz w:val="32"/>
          <w:szCs w:val="32"/>
        </w:rPr>
        <w:t>（一）自评和抽查复核评分结果差异率分析</w:t>
      </w:r>
      <w:r>
        <w:rPr>
          <w:sz w:val="32"/>
          <w:szCs w:val="32"/>
        </w:rPr>
        <w:tab/>
      </w:r>
      <w:r>
        <w:rPr>
          <w:rFonts w:ascii="仿宋_GB2312" w:hAnsi="Calibri"/>
          <w:color w:val="000000"/>
          <w:sz w:val="32"/>
          <w:szCs w:val="32"/>
        </w:rPr>
        <w:fldChar w:fldCharType="begin"/>
      </w:r>
      <w:r>
        <w:rPr>
          <w:rFonts w:ascii="仿宋_GB2312" w:hAnsi="Calibri"/>
          <w:color w:val="000000"/>
          <w:sz w:val="32"/>
          <w:szCs w:val="32"/>
        </w:rPr>
        <w:instrText xml:space="preserve"> PAGEREF _Toc23965 \h </w:instrText>
      </w:r>
      <w:r>
        <w:rPr>
          <w:rFonts w:ascii="仿宋_GB2312" w:hAnsi="Calibri"/>
          <w:color w:val="000000"/>
          <w:sz w:val="32"/>
          <w:szCs w:val="32"/>
        </w:rPr>
        <w:fldChar w:fldCharType="separate"/>
      </w:r>
      <w:r>
        <w:rPr>
          <w:rFonts w:ascii="仿宋_GB2312" w:hAnsi="Calibri"/>
          <w:color w:val="000000"/>
          <w:sz w:val="32"/>
          <w:szCs w:val="32"/>
        </w:rPr>
        <w:t>2</w:t>
      </w:r>
      <w:r>
        <w:rPr>
          <w:rFonts w:ascii="仿宋_GB2312" w:hAnsi="Calibri"/>
          <w:color w:val="000000"/>
          <w:sz w:val="32"/>
          <w:szCs w:val="32"/>
        </w:rPr>
        <w:fldChar w:fldCharType="end"/>
      </w:r>
      <w:r>
        <w:rPr>
          <w:rFonts w:ascii="仿宋_GB2312" w:hAnsi="Calibri"/>
          <w:color w:val="000000"/>
          <w:sz w:val="32"/>
          <w:szCs w:val="32"/>
        </w:rPr>
        <w:fldChar w:fldCharType="end"/>
      </w:r>
    </w:p>
    <w:p w14:paraId="3BE227FE">
      <w:pPr>
        <w:pStyle w:val="11"/>
        <w:tabs>
          <w:tab w:val="right" w:leader="dot" w:pos="8306"/>
        </w:tabs>
        <w:adjustRightInd w:val="0"/>
        <w:snapToGrid w:val="0"/>
        <w:spacing w:line="360" w:lineRule="auto"/>
        <w:ind w:firstLine="300" w:firstLineChars="100"/>
        <w:rPr>
          <w:sz w:val="32"/>
          <w:szCs w:val="32"/>
        </w:rPr>
      </w:pPr>
      <w:r>
        <w:fldChar w:fldCharType="begin"/>
      </w:r>
      <w:r>
        <w:instrText xml:space="preserve"> HYPERLINK \l "_Toc10063" </w:instrText>
      </w:r>
      <w:r>
        <w:fldChar w:fldCharType="separate"/>
      </w:r>
      <w:r>
        <w:rPr>
          <w:rFonts w:hint="eastAsia" w:ascii="楷体_GB2312" w:hAnsi="楷体_GB2312" w:eastAsia="楷体_GB2312" w:cs="楷体_GB2312"/>
          <w:sz w:val="32"/>
          <w:szCs w:val="32"/>
        </w:rPr>
        <w:t>（二）抽查复核发现的问题</w:t>
      </w:r>
      <w:r>
        <w:rPr>
          <w:sz w:val="32"/>
          <w:szCs w:val="32"/>
        </w:rPr>
        <w:tab/>
      </w:r>
      <w:r>
        <w:rPr>
          <w:rFonts w:ascii="仿宋_GB2312" w:hAnsi="Calibri"/>
          <w:color w:val="000000"/>
          <w:sz w:val="32"/>
          <w:szCs w:val="32"/>
        </w:rPr>
        <w:fldChar w:fldCharType="begin"/>
      </w:r>
      <w:r>
        <w:rPr>
          <w:rFonts w:ascii="仿宋_GB2312" w:hAnsi="Calibri"/>
          <w:color w:val="000000"/>
          <w:sz w:val="32"/>
          <w:szCs w:val="32"/>
        </w:rPr>
        <w:instrText xml:space="preserve"> PAGEREF _Toc10063 \h </w:instrText>
      </w:r>
      <w:r>
        <w:rPr>
          <w:rFonts w:ascii="仿宋_GB2312" w:hAnsi="Calibri"/>
          <w:color w:val="000000"/>
          <w:sz w:val="32"/>
          <w:szCs w:val="32"/>
        </w:rPr>
        <w:fldChar w:fldCharType="separate"/>
      </w:r>
      <w:r>
        <w:rPr>
          <w:rFonts w:ascii="仿宋_GB2312" w:hAnsi="Calibri"/>
          <w:color w:val="000000"/>
          <w:sz w:val="32"/>
          <w:szCs w:val="32"/>
        </w:rPr>
        <w:t>2</w:t>
      </w:r>
      <w:r>
        <w:rPr>
          <w:rFonts w:ascii="仿宋_GB2312" w:hAnsi="Calibri"/>
          <w:color w:val="000000"/>
          <w:sz w:val="32"/>
          <w:szCs w:val="32"/>
        </w:rPr>
        <w:fldChar w:fldCharType="end"/>
      </w:r>
      <w:r>
        <w:rPr>
          <w:rFonts w:ascii="仿宋_GB2312" w:hAnsi="Calibri"/>
          <w:color w:val="000000"/>
          <w:sz w:val="32"/>
          <w:szCs w:val="32"/>
        </w:rPr>
        <w:fldChar w:fldCharType="end"/>
      </w:r>
    </w:p>
    <w:p w14:paraId="1D396F4E">
      <w:pPr>
        <w:pStyle w:val="10"/>
        <w:tabs>
          <w:tab w:val="right" w:leader="dot" w:pos="8306"/>
        </w:tabs>
        <w:adjustRightInd w:val="0"/>
        <w:spacing w:line="360" w:lineRule="auto"/>
        <w:rPr>
          <w:sz w:val="32"/>
          <w:szCs w:val="32"/>
        </w:rPr>
      </w:pPr>
      <w:r>
        <w:fldChar w:fldCharType="begin"/>
      </w:r>
      <w:r>
        <w:instrText xml:space="preserve"> HYPERLINK \l "_Toc19466" </w:instrText>
      </w:r>
      <w:r>
        <w:fldChar w:fldCharType="separate"/>
      </w:r>
      <w:r>
        <w:rPr>
          <w:rFonts w:hint="eastAsia" w:ascii="黑体" w:hAnsi="黑体" w:eastAsia="黑体" w:cs="黑体"/>
          <w:sz w:val="32"/>
          <w:szCs w:val="32"/>
        </w:rPr>
        <w:t>四、意见建议</w:t>
      </w:r>
      <w:r>
        <w:rPr>
          <w:sz w:val="32"/>
          <w:szCs w:val="32"/>
        </w:rPr>
        <w:tab/>
      </w:r>
      <w:r>
        <w:rPr>
          <w:sz w:val="32"/>
          <w:szCs w:val="32"/>
        </w:rPr>
        <w:fldChar w:fldCharType="begin"/>
      </w:r>
      <w:r>
        <w:rPr>
          <w:sz w:val="32"/>
          <w:szCs w:val="32"/>
        </w:rPr>
        <w:instrText xml:space="preserve"> PAGEREF _Toc19466 \h </w:instrText>
      </w:r>
      <w:r>
        <w:rPr>
          <w:sz w:val="32"/>
          <w:szCs w:val="32"/>
        </w:rPr>
        <w:fldChar w:fldCharType="separate"/>
      </w:r>
      <w:r>
        <w:rPr>
          <w:sz w:val="32"/>
          <w:szCs w:val="32"/>
        </w:rPr>
        <w:t>3</w:t>
      </w:r>
      <w:r>
        <w:rPr>
          <w:sz w:val="32"/>
          <w:szCs w:val="32"/>
        </w:rPr>
        <w:fldChar w:fldCharType="end"/>
      </w:r>
      <w:r>
        <w:rPr>
          <w:sz w:val="32"/>
          <w:szCs w:val="32"/>
        </w:rPr>
        <w:fldChar w:fldCharType="end"/>
      </w:r>
    </w:p>
    <w:p w14:paraId="11607E9C">
      <w:pPr>
        <w:pStyle w:val="25"/>
        <w:numPr>
          <w:ilvl w:val="255"/>
          <w:numId w:val="0"/>
        </w:numPr>
        <w:adjustRightInd w:val="0"/>
        <w:snapToGrid w:val="0"/>
        <w:spacing w:line="360" w:lineRule="auto"/>
        <w:ind w:left="2730"/>
        <w:rPr>
          <w:rFonts w:ascii="黑体" w:hAnsi="黑体" w:eastAsia="黑体" w:cs="黑体"/>
          <w:sz w:val="32"/>
          <w:szCs w:val="32"/>
        </w:rPr>
      </w:pPr>
      <w:r>
        <w:rPr>
          <w:rFonts w:eastAsia="宋体"/>
          <w:bCs/>
          <w:sz w:val="32"/>
          <w:szCs w:val="32"/>
        </w:rPr>
        <w:fldChar w:fldCharType="end"/>
      </w:r>
    </w:p>
    <w:p w14:paraId="6034C0CF">
      <w:pPr>
        <w:pStyle w:val="2"/>
        <w:widowControl/>
        <w:overflowPunct w:val="0"/>
        <w:autoSpaceDE w:val="0"/>
        <w:autoSpaceDN w:val="0"/>
        <w:adjustRightInd w:val="0"/>
        <w:snapToGrid w:val="0"/>
        <w:spacing w:line="240" w:lineRule="auto"/>
        <w:ind w:firstLine="480" w:firstLineChars="200"/>
        <w:textAlignment w:val="baseline"/>
        <w:rPr>
          <w:rFonts w:eastAsia="宋体"/>
          <w:b w:val="0"/>
          <w:bCs/>
          <w:sz w:val="24"/>
        </w:rPr>
      </w:pPr>
    </w:p>
    <w:p w14:paraId="346A2E5E">
      <w:pPr>
        <w:sectPr>
          <w:footerReference r:id="rId3" w:type="default"/>
          <w:pgSz w:w="11906" w:h="16838"/>
          <w:pgMar w:top="1440" w:right="1800" w:bottom="1440" w:left="1800" w:header="737" w:footer="851" w:gutter="0"/>
          <w:pgNumType w:start="1"/>
          <w:cols w:space="720" w:num="1"/>
          <w:docGrid w:type="lines" w:linePitch="408" w:charSpace="0"/>
        </w:sectPr>
      </w:pPr>
      <w:r>
        <w:rPr>
          <w:rFonts w:hint="eastAsia"/>
        </w:rPr>
        <w:t xml:space="preserve"> </w:t>
      </w:r>
    </w:p>
    <w:p w14:paraId="5BBCCB21">
      <w:pPr>
        <w:tabs>
          <w:tab w:val="left" w:pos="3618"/>
        </w:tabs>
        <w:spacing w:line="580" w:lineRule="exact"/>
        <w:jc w:val="left"/>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ab/>
      </w:r>
    </w:p>
    <w:p w14:paraId="46EBFDC5">
      <w:pPr>
        <w:spacing w:line="580"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val="en-US" w:eastAsia="zh-CN"/>
        </w:rPr>
        <w:t>2025</w:t>
      </w:r>
      <w:r>
        <w:rPr>
          <w:rFonts w:hint="eastAsia" w:ascii="方正小标宋简体" w:hAnsi="方正小标宋简体" w:eastAsia="方正小标宋简体" w:cs="方正小标宋简体"/>
          <w:bCs/>
          <w:sz w:val="44"/>
          <w:szCs w:val="44"/>
        </w:rPr>
        <w:t>年度三513-劳务派遣人员经费资金</w:t>
      </w:r>
    </w:p>
    <w:p w14:paraId="5F8179BD">
      <w:pPr>
        <w:spacing w:line="58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绩效自评抽查复核报告</w:t>
      </w:r>
    </w:p>
    <w:p w14:paraId="1D7219C0">
      <w:pPr>
        <w:spacing w:line="580" w:lineRule="exact"/>
        <w:jc w:val="center"/>
        <w:rPr>
          <w:rFonts w:ascii="仿宋_GB2312" w:hAnsi="仿宋_GB2312" w:eastAsia="仿宋_GB2312" w:cs="仿宋_GB2312"/>
          <w:sz w:val="32"/>
          <w:szCs w:val="32"/>
        </w:rPr>
      </w:pPr>
    </w:p>
    <w:p w14:paraId="35D92BCC">
      <w:pPr>
        <w:pStyle w:val="25"/>
        <w:keepNext w:val="0"/>
        <w:pageBreakBefore w:val="0"/>
        <w:kinsoku/>
        <w:wordWrap/>
        <w:topLinePunct w:val="0"/>
        <w:bidi w:val="0"/>
        <w:spacing w:line="560" w:lineRule="exact"/>
        <w:ind w:left="640" w:firstLine="0" w:firstLineChars="0"/>
        <w:outlineLvl w:val="0"/>
        <w:rPr>
          <w:rFonts w:ascii="黑体" w:hAnsi="黑体" w:eastAsia="黑体" w:cs="黑体"/>
          <w:sz w:val="32"/>
          <w:szCs w:val="32"/>
        </w:rPr>
      </w:pPr>
      <w:bookmarkStart w:id="0" w:name="_Toc11904"/>
      <w:bookmarkStart w:id="1" w:name="_Toc4413"/>
      <w:bookmarkStart w:id="2" w:name="_Toc27098"/>
      <w:bookmarkStart w:id="3" w:name="_Toc20850"/>
      <w:r>
        <w:rPr>
          <w:rFonts w:hint="eastAsia" w:ascii="黑体" w:hAnsi="黑体" w:eastAsia="黑体" w:cs="黑体"/>
          <w:sz w:val="32"/>
          <w:szCs w:val="32"/>
        </w:rPr>
        <w:t>一、组织情况（抽查组织情况）</w:t>
      </w:r>
      <w:bookmarkEnd w:id="0"/>
      <w:bookmarkEnd w:id="1"/>
      <w:bookmarkEnd w:id="2"/>
      <w:bookmarkEnd w:id="3"/>
    </w:p>
    <w:p w14:paraId="5A2CA477">
      <w:pPr>
        <w:pStyle w:val="3"/>
        <w:keepNext w:val="0"/>
        <w:pageBreakBefore w:val="0"/>
        <w:widowControl/>
        <w:kinsoku/>
        <w:wordWrap/>
        <w:overflowPunct w:val="0"/>
        <w:topLinePunct w:val="0"/>
        <w:autoSpaceDE w:val="0"/>
        <w:autoSpaceDN w:val="0"/>
        <w:bidi w:val="0"/>
        <w:adjustRightInd w:val="0"/>
        <w:snapToGrid w:val="0"/>
        <w:spacing w:before="0" w:after="0" w:line="560" w:lineRule="exact"/>
        <w:ind w:firstLine="640" w:firstLineChars="200"/>
        <w:textAlignment w:val="baseline"/>
        <w:rPr>
          <w:rFonts w:ascii="Cambria" w:hAnsi="Cambria" w:eastAsia="楷体"/>
          <w:b w:val="0"/>
          <w:bCs w:val="0"/>
          <w:kern w:val="0"/>
        </w:rPr>
      </w:pPr>
      <w:bookmarkStart w:id="4" w:name="_Toc23777"/>
      <w:bookmarkStart w:id="5" w:name="_Toc11751"/>
      <w:bookmarkStart w:id="6" w:name="_Toc78653001"/>
      <w:bookmarkStart w:id="7" w:name="_Toc21684"/>
      <w:bookmarkStart w:id="8" w:name="_Toc11369"/>
      <w:r>
        <w:rPr>
          <w:rFonts w:hint="eastAsia" w:ascii="Cambria" w:hAnsi="Cambria" w:eastAsia="楷体"/>
          <w:b w:val="0"/>
          <w:bCs w:val="0"/>
          <w:kern w:val="0"/>
        </w:rPr>
        <w:t>（一）抽查复核目的和对象</w:t>
      </w:r>
      <w:bookmarkEnd w:id="4"/>
      <w:bookmarkEnd w:id="5"/>
      <w:bookmarkEnd w:id="6"/>
      <w:bookmarkEnd w:id="7"/>
      <w:bookmarkEnd w:id="8"/>
    </w:p>
    <w:p w14:paraId="051C7C27">
      <w:pPr>
        <w:keepNext w:val="0"/>
        <w:pageBreakBefore w:val="0"/>
        <w:kinsoku/>
        <w:wordWrap/>
        <w:topLinePunct w:val="0"/>
        <w:bidi w:val="0"/>
        <w:spacing w:line="560" w:lineRule="exact"/>
        <w:ind w:firstLine="640" w:firstLineChars="200"/>
        <w:rPr>
          <w:rFonts w:ascii="仿宋_GB2312" w:hAnsi="仿宋"/>
          <w:sz w:val="32"/>
          <w:szCs w:val="32"/>
        </w:rPr>
      </w:pPr>
      <w:r>
        <w:rPr>
          <w:rFonts w:hint="eastAsia" w:ascii="仿宋_GB2312" w:hAnsi="仿宋"/>
          <w:sz w:val="32"/>
          <w:szCs w:val="32"/>
        </w:rPr>
        <w:t>1.</w:t>
      </w:r>
      <w:r>
        <w:rPr>
          <w:rFonts w:hint="eastAsia" w:ascii="Cambria" w:hAnsi="Cambria" w:eastAsia="楷体"/>
          <w:b/>
          <w:bCs/>
          <w:kern w:val="0"/>
        </w:rPr>
        <w:t xml:space="preserve"> </w:t>
      </w:r>
      <w:r>
        <w:rPr>
          <w:rFonts w:hint="eastAsia" w:ascii="仿宋_GB2312" w:hAnsi="楷体_GB2312" w:eastAsia="仿宋_GB2312" w:cs="楷体_GB2312"/>
          <w:spacing w:val="-4"/>
          <w:sz w:val="32"/>
          <w:szCs w:val="32"/>
        </w:rPr>
        <w:t>抽查复核目的</w:t>
      </w:r>
    </w:p>
    <w:p w14:paraId="4447951F">
      <w:pPr>
        <w:keepNext w:val="0"/>
        <w:pageBreakBefore w:val="0"/>
        <w:kinsoku/>
        <w:wordWrap/>
        <w:topLinePunct w:val="0"/>
        <w:autoSpaceDE w:val="0"/>
        <w:autoSpaceDN w:val="0"/>
        <w:bidi w:val="0"/>
        <w:adjustRightInd w:val="0"/>
        <w:spacing w:line="560" w:lineRule="exact"/>
        <w:ind w:firstLine="624" w:firstLineChars="200"/>
        <w:jc w:val="left"/>
        <w:rPr>
          <w:rFonts w:ascii="仿宋_GB2312" w:hAnsi="楷体_GB2312" w:eastAsia="仿宋_GB2312" w:cs="楷体_GB2312"/>
          <w:spacing w:val="-4"/>
          <w:sz w:val="32"/>
          <w:szCs w:val="32"/>
        </w:rPr>
      </w:pPr>
      <w:bookmarkStart w:id="9" w:name="_Toc14593"/>
      <w:bookmarkStart w:id="10" w:name="_Toc32652"/>
      <w:r>
        <w:rPr>
          <w:rFonts w:hint="eastAsia" w:ascii="仿宋_GB2312" w:hAnsi="楷体_GB2312" w:eastAsia="仿宋_GB2312" w:cs="楷体_GB2312"/>
          <w:spacing w:val="-4"/>
          <w:sz w:val="32"/>
          <w:szCs w:val="32"/>
        </w:rPr>
        <w:t>通过对</w:t>
      </w:r>
      <w:r>
        <w:rPr>
          <w:rFonts w:hint="eastAsia" w:ascii="仿宋_GB2312" w:hAnsi="楷体_GB2312" w:eastAsia="仿宋_GB2312" w:cs="楷体_GB2312"/>
          <w:spacing w:val="-4"/>
          <w:sz w:val="32"/>
          <w:szCs w:val="32"/>
          <w:lang w:val="en-US" w:eastAsia="zh-CN"/>
        </w:rPr>
        <w:t>2025</w:t>
      </w:r>
      <w:r>
        <w:rPr>
          <w:rFonts w:hint="eastAsia" w:ascii="仿宋_GB2312" w:hAnsi="楷体_GB2312" w:eastAsia="仿宋_GB2312" w:cs="楷体_GB2312"/>
          <w:spacing w:val="-4"/>
          <w:sz w:val="32"/>
          <w:szCs w:val="32"/>
        </w:rPr>
        <w:t>年度三513-劳务派遣人员经费资金单位自评的预算执行和绩效目标完成情况进行客观、公正的复核，总结项目实施过程中的经验做法，发现完整性、规范性、真实性和准确性方面存在的问题，提出改进建议，提高三513-劳务派遣人员经费专项资金的使用效率。</w:t>
      </w:r>
      <w:bookmarkEnd w:id="9"/>
      <w:bookmarkEnd w:id="10"/>
    </w:p>
    <w:p w14:paraId="2BE39D50">
      <w:pPr>
        <w:keepNext w:val="0"/>
        <w:pageBreakBefore w:val="0"/>
        <w:kinsoku/>
        <w:wordWrap/>
        <w:topLinePunct w:val="0"/>
        <w:bidi w:val="0"/>
        <w:spacing w:line="560" w:lineRule="exact"/>
        <w:ind w:firstLine="640" w:firstLineChars="200"/>
        <w:rPr>
          <w:rFonts w:ascii="仿宋_GB2312" w:hAnsi="仿宋"/>
          <w:sz w:val="32"/>
          <w:szCs w:val="32"/>
        </w:rPr>
      </w:pPr>
      <w:r>
        <w:rPr>
          <w:rFonts w:hint="eastAsia" w:ascii="仿宋_GB2312" w:hAnsi="仿宋"/>
          <w:sz w:val="32"/>
          <w:szCs w:val="32"/>
        </w:rPr>
        <w:t>2.</w:t>
      </w:r>
      <w:r>
        <w:rPr>
          <w:rFonts w:hint="eastAsia" w:ascii="Cambria" w:hAnsi="Cambria" w:eastAsia="楷体"/>
          <w:b/>
          <w:bCs/>
          <w:kern w:val="0"/>
        </w:rPr>
        <w:t xml:space="preserve"> </w:t>
      </w:r>
      <w:r>
        <w:rPr>
          <w:rFonts w:hint="eastAsia" w:ascii="仿宋_GB2312" w:hAnsi="楷体_GB2312" w:eastAsia="仿宋_GB2312" w:cs="楷体_GB2312"/>
          <w:spacing w:val="-4"/>
          <w:sz w:val="32"/>
          <w:szCs w:val="32"/>
        </w:rPr>
        <w:t>抽查复核对象</w:t>
      </w:r>
    </w:p>
    <w:p w14:paraId="433B19E9">
      <w:pPr>
        <w:keepNext w:val="0"/>
        <w:pageBreakBefore w:val="0"/>
        <w:kinsoku/>
        <w:wordWrap/>
        <w:topLinePunct w:val="0"/>
        <w:bidi w:val="0"/>
        <w:spacing w:line="560" w:lineRule="exact"/>
        <w:ind w:firstLine="624" w:firstLineChars="200"/>
        <w:rPr>
          <w:rFonts w:ascii="仿宋_GB2312" w:hAnsi="仿宋_GB2312" w:cs="仿宋_GB2312"/>
          <w:sz w:val="32"/>
          <w:szCs w:val="32"/>
        </w:rPr>
      </w:pPr>
      <w:r>
        <w:rPr>
          <w:rFonts w:hint="eastAsia" w:ascii="仿宋_GB2312" w:hAnsi="楷体_GB2312" w:eastAsia="仿宋_GB2312" w:cs="楷体_GB2312"/>
          <w:spacing w:val="-4"/>
          <w:sz w:val="32"/>
          <w:szCs w:val="32"/>
          <w:lang w:val="en-US" w:eastAsia="zh-CN"/>
        </w:rPr>
        <w:t>2025</w:t>
      </w:r>
      <w:r>
        <w:rPr>
          <w:rFonts w:hint="eastAsia" w:ascii="仿宋_GB2312" w:hAnsi="楷体_GB2312" w:eastAsia="仿宋_GB2312" w:cs="楷体_GB2312"/>
          <w:spacing w:val="-4"/>
          <w:sz w:val="32"/>
          <w:szCs w:val="32"/>
        </w:rPr>
        <w:t>年度三513-劳务派遣人员经费资金单位自评表及证明资料，包括：</w:t>
      </w:r>
      <w:r>
        <w:rPr>
          <w:rFonts w:hint="eastAsia" w:ascii="仿宋" w:hAnsi="仿宋" w:eastAsia="仿宋"/>
          <w:spacing w:val="-4"/>
          <w:sz w:val="32"/>
          <w:szCs w:val="32"/>
          <w:highlight w:val="none"/>
        </w:rPr>
        <w:t>批复的202</w:t>
      </w:r>
      <w:r>
        <w:rPr>
          <w:rFonts w:hint="eastAsia" w:ascii="仿宋" w:hAnsi="仿宋" w:eastAsia="仿宋"/>
          <w:spacing w:val="-4"/>
          <w:sz w:val="32"/>
          <w:szCs w:val="32"/>
          <w:highlight w:val="none"/>
          <w:lang w:val="en-US" w:eastAsia="zh-CN"/>
        </w:rPr>
        <w:t>5</w:t>
      </w:r>
      <w:r>
        <w:rPr>
          <w:rFonts w:hint="eastAsia" w:ascii="仿宋" w:hAnsi="仿宋" w:eastAsia="仿宋"/>
          <w:spacing w:val="-4"/>
          <w:sz w:val="32"/>
          <w:szCs w:val="32"/>
          <w:highlight w:val="none"/>
        </w:rPr>
        <w:t>年度项目支出绩效目标申报表</w:t>
      </w:r>
      <w:r>
        <w:rPr>
          <w:rFonts w:hint="eastAsia" w:ascii="仿宋" w:hAnsi="仿宋" w:eastAsia="仿宋"/>
          <w:spacing w:val="-4"/>
          <w:sz w:val="32"/>
          <w:szCs w:val="32"/>
          <w:highlight w:val="none"/>
          <w:lang w:eastAsia="zh-CN"/>
        </w:rPr>
        <w:t>、</w:t>
      </w:r>
      <w:r>
        <w:rPr>
          <w:rFonts w:hint="eastAsia" w:ascii="仿宋" w:hAnsi="仿宋" w:eastAsia="仿宋"/>
          <w:spacing w:val="-4"/>
          <w:sz w:val="32"/>
          <w:szCs w:val="32"/>
          <w:highlight w:val="none"/>
        </w:rPr>
        <w:t>预算编制资料</w:t>
      </w:r>
      <w:r>
        <w:rPr>
          <w:rFonts w:hint="eastAsia" w:ascii="仿宋" w:hAnsi="仿宋" w:eastAsia="仿宋"/>
          <w:spacing w:val="-4"/>
          <w:sz w:val="32"/>
          <w:szCs w:val="32"/>
          <w:highlight w:val="none"/>
          <w:lang w:eastAsia="zh-CN"/>
        </w:rPr>
        <w:t>、</w:t>
      </w:r>
      <w:r>
        <w:rPr>
          <w:rFonts w:hint="eastAsia" w:ascii="仿宋" w:hAnsi="仿宋" w:eastAsia="仿宋"/>
          <w:spacing w:val="-4"/>
          <w:sz w:val="32"/>
          <w:szCs w:val="32"/>
          <w:highlight w:val="none"/>
        </w:rPr>
        <w:t>相关执行数据资料</w:t>
      </w:r>
      <w:r>
        <w:rPr>
          <w:rFonts w:hint="eastAsia" w:ascii="仿宋" w:hAnsi="仿宋" w:eastAsia="仿宋"/>
          <w:spacing w:val="-4"/>
          <w:sz w:val="32"/>
          <w:szCs w:val="32"/>
          <w:highlight w:val="none"/>
          <w:lang w:eastAsia="zh-CN"/>
        </w:rPr>
        <w:t>、</w:t>
      </w:r>
      <w:r>
        <w:rPr>
          <w:rFonts w:hint="eastAsia" w:ascii="仿宋" w:hAnsi="仿宋" w:eastAsia="仿宋"/>
          <w:spacing w:val="-4"/>
          <w:sz w:val="32"/>
          <w:szCs w:val="32"/>
          <w:highlight w:val="none"/>
        </w:rPr>
        <w:t>202</w:t>
      </w:r>
      <w:r>
        <w:rPr>
          <w:rFonts w:hint="eastAsia" w:ascii="仿宋" w:hAnsi="仿宋" w:eastAsia="仿宋"/>
          <w:spacing w:val="-4"/>
          <w:sz w:val="32"/>
          <w:szCs w:val="32"/>
          <w:highlight w:val="none"/>
          <w:lang w:val="en-US" w:eastAsia="zh-CN"/>
        </w:rPr>
        <w:t>5</w:t>
      </w:r>
      <w:r>
        <w:rPr>
          <w:rFonts w:hint="eastAsia" w:ascii="仿宋" w:hAnsi="仿宋" w:eastAsia="仿宋"/>
          <w:spacing w:val="-4"/>
          <w:sz w:val="32"/>
          <w:szCs w:val="32"/>
          <w:highlight w:val="none"/>
        </w:rPr>
        <w:t>年度项目支出绩效单位自评表以及自评相关的佐证资料</w:t>
      </w:r>
      <w:r>
        <w:rPr>
          <w:rFonts w:hint="eastAsia" w:ascii="仿宋" w:hAnsi="仿宋" w:eastAsia="仿宋"/>
          <w:spacing w:val="-4"/>
          <w:sz w:val="32"/>
          <w:szCs w:val="32"/>
          <w:highlight w:val="none"/>
          <w:lang w:eastAsia="zh-CN"/>
        </w:rPr>
        <w:t>等</w:t>
      </w:r>
      <w:r>
        <w:rPr>
          <w:rFonts w:hint="eastAsia" w:ascii="仿宋_GB2312" w:hAnsi="仿宋_GB2312" w:cs="仿宋_GB2312"/>
          <w:sz w:val="32"/>
          <w:szCs w:val="32"/>
          <w:highlight w:val="none"/>
        </w:rPr>
        <w:t>。</w:t>
      </w:r>
    </w:p>
    <w:p w14:paraId="48F19BA4">
      <w:pPr>
        <w:pStyle w:val="3"/>
        <w:keepNext w:val="0"/>
        <w:pageBreakBefore w:val="0"/>
        <w:widowControl/>
        <w:kinsoku/>
        <w:wordWrap/>
        <w:overflowPunct w:val="0"/>
        <w:topLinePunct w:val="0"/>
        <w:autoSpaceDE w:val="0"/>
        <w:autoSpaceDN w:val="0"/>
        <w:bidi w:val="0"/>
        <w:adjustRightInd w:val="0"/>
        <w:snapToGrid w:val="0"/>
        <w:spacing w:before="0" w:after="0" w:line="560" w:lineRule="exact"/>
        <w:ind w:firstLine="640" w:firstLineChars="200"/>
        <w:textAlignment w:val="baseline"/>
        <w:rPr>
          <w:rFonts w:ascii="Cambria" w:hAnsi="Cambria" w:eastAsia="楷体"/>
          <w:b w:val="0"/>
          <w:bCs w:val="0"/>
          <w:kern w:val="0"/>
        </w:rPr>
      </w:pPr>
      <w:bookmarkStart w:id="11" w:name="_Toc419"/>
      <w:bookmarkStart w:id="12" w:name="_Toc19067"/>
      <w:bookmarkStart w:id="13" w:name="_Toc78653003"/>
      <w:bookmarkStart w:id="14" w:name="_Toc3766"/>
      <w:bookmarkStart w:id="15" w:name="_Toc3668"/>
      <w:r>
        <w:rPr>
          <w:rFonts w:hint="eastAsia" w:ascii="Cambria" w:hAnsi="Cambria" w:eastAsia="楷体"/>
          <w:b w:val="0"/>
          <w:bCs w:val="0"/>
          <w:kern w:val="0"/>
        </w:rPr>
        <w:t>（二）抽查复核依据、方法和标准</w:t>
      </w:r>
      <w:bookmarkEnd w:id="11"/>
      <w:bookmarkEnd w:id="12"/>
      <w:bookmarkEnd w:id="13"/>
      <w:bookmarkEnd w:id="14"/>
      <w:bookmarkEnd w:id="15"/>
    </w:p>
    <w:p w14:paraId="37B11CAF">
      <w:pPr>
        <w:keepNext w:val="0"/>
        <w:pageBreakBefore w:val="0"/>
        <w:kinsoku/>
        <w:wordWrap/>
        <w:topLinePunct w:val="0"/>
        <w:bidi w:val="0"/>
        <w:spacing w:line="560" w:lineRule="exact"/>
        <w:ind w:firstLine="624" w:firstLineChars="200"/>
        <w:rPr>
          <w:rFonts w:ascii="仿宋_GB2312" w:hAnsi="楷体_GB2312" w:eastAsia="仿宋_GB2312" w:cs="楷体_GB2312"/>
          <w:spacing w:val="-4"/>
          <w:sz w:val="32"/>
          <w:szCs w:val="32"/>
        </w:rPr>
      </w:pPr>
      <w:r>
        <w:rPr>
          <w:rFonts w:hint="eastAsia" w:ascii="仿宋_GB2312" w:hAnsi="楷体_GB2312" w:eastAsia="仿宋_GB2312" w:cs="楷体_GB2312"/>
          <w:spacing w:val="-4"/>
          <w:sz w:val="32"/>
          <w:szCs w:val="32"/>
        </w:rPr>
        <w:t>1. 抽查复核依据</w:t>
      </w:r>
    </w:p>
    <w:p w14:paraId="71162DBA">
      <w:pPr>
        <w:keepNext w:val="0"/>
        <w:pageBreakBefore w:val="0"/>
        <w:kinsoku/>
        <w:wordWrap/>
        <w:topLinePunct w:val="0"/>
        <w:bidi w:val="0"/>
        <w:spacing w:line="560" w:lineRule="exact"/>
        <w:ind w:firstLine="624" w:firstLineChars="200"/>
        <w:rPr>
          <w:rFonts w:ascii="仿宋_GB2312" w:hAnsi="楷体_GB2312" w:eastAsia="仿宋_GB2312" w:cs="楷体_GB2312"/>
          <w:spacing w:val="-4"/>
          <w:sz w:val="32"/>
          <w:szCs w:val="32"/>
        </w:rPr>
      </w:pPr>
      <w:r>
        <w:rPr>
          <w:rFonts w:hint="eastAsia" w:ascii="仿宋_GB2312" w:hAnsi="楷体_GB2312" w:eastAsia="仿宋_GB2312" w:cs="楷体_GB2312"/>
          <w:spacing w:val="-4"/>
          <w:sz w:val="32"/>
          <w:szCs w:val="32"/>
        </w:rPr>
        <w:t>本次绩效评价依据的财政相关文件包括《关于全面实施预算绩效管理的意见》（中发〔2018〕34号）、《关于印发&lt;项目支出绩效评价管理办法&gt;的通知》（财预〔2020〕10号）等文件精神。</w:t>
      </w:r>
    </w:p>
    <w:p w14:paraId="628B07F0">
      <w:pPr>
        <w:keepNext w:val="0"/>
        <w:pageBreakBefore w:val="0"/>
        <w:kinsoku/>
        <w:wordWrap/>
        <w:topLinePunct w:val="0"/>
        <w:bidi w:val="0"/>
        <w:spacing w:line="560" w:lineRule="exact"/>
        <w:ind w:firstLine="624" w:firstLineChars="200"/>
        <w:rPr>
          <w:rFonts w:ascii="仿宋_GB2312" w:hAnsi="楷体_GB2312" w:eastAsia="仿宋_GB2312" w:cs="楷体_GB2312"/>
          <w:spacing w:val="-4"/>
          <w:sz w:val="32"/>
          <w:szCs w:val="32"/>
        </w:rPr>
      </w:pPr>
      <w:r>
        <w:rPr>
          <w:rFonts w:hint="eastAsia" w:ascii="仿宋_GB2312" w:hAnsi="楷体_GB2312" w:eastAsia="仿宋_GB2312" w:cs="楷体_GB2312"/>
          <w:spacing w:val="-4"/>
          <w:sz w:val="32"/>
          <w:szCs w:val="32"/>
        </w:rPr>
        <w:t>2. 抽查复核方法</w:t>
      </w:r>
    </w:p>
    <w:p w14:paraId="103F551C">
      <w:pPr>
        <w:keepNext w:val="0"/>
        <w:pageBreakBefore w:val="0"/>
        <w:kinsoku/>
        <w:wordWrap/>
        <w:topLinePunct w:val="0"/>
        <w:bidi w:val="0"/>
        <w:spacing w:line="560" w:lineRule="exact"/>
        <w:ind w:firstLine="624" w:firstLineChars="200"/>
        <w:rPr>
          <w:rFonts w:ascii="仿宋_GB2312" w:hAnsi="楷体_GB2312" w:eastAsia="仿宋_GB2312" w:cs="楷体_GB2312"/>
          <w:spacing w:val="-4"/>
          <w:sz w:val="32"/>
          <w:szCs w:val="32"/>
        </w:rPr>
      </w:pPr>
      <w:bookmarkStart w:id="16" w:name="_Toc78653004"/>
      <w:r>
        <w:rPr>
          <w:rFonts w:hint="eastAsia" w:ascii="仿宋_GB2312" w:hAnsi="楷体_GB2312" w:eastAsia="仿宋_GB2312" w:cs="楷体_GB2312"/>
          <w:spacing w:val="-4"/>
          <w:sz w:val="32"/>
          <w:szCs w:val="32"/>
        </w:rPr>
        <w:t>为保证评价工作的科学性，根据预算部门及单位提供的材料，采取资料审核及现场勘查等方式抽查复核。</w:t>
      </w:r>
      <w:bookmarkEnd w:id="16"/>
    </w:p>
    <w:p w14:paraId="22D6ECA6">
      <w:pPr>
        <w:keepNext w:val="0"/>
        <w:pageBreakBefore w:val="0"/>
        <w:kinsoku/>
        <w:wordWrap/>
        <w:topLinePunct w:val="0"/>
        <w:bidi w:val="0"/>
        <w:spacing w:line="560" w:lineRule="exact"/>
        <w:ind w:firstLine="624" w:firstLineChars="200"/>
        <w:rPr>
          <w:rFonts w:ascii="仿宋_GB2312" w:hAnsi="楷体_GB2312" w:eastAsia="仿宋_GB2312" w:cs="楷体_GB2312"/>
          <w:spacing w:val="-4"/>
          <w:sz w:val="32"/>
          <w:szCs w:val="32"/>
        </w:rPr>
      </w:pPr>
      <w:r>
        <w:rPr>
          <w:rFonts w:hint="eastAsia" w:ascii="仿宋_GB2312" w:hAnsi="楷体_GB2312" w:eastAsia="仿宋_GB2312" w:cs="楷体_GB2312"/>
          <w:spacing w:val="-4"/>
          <w:sz w:val="32"/>
          <w:szCs w:val="32"/>
        </w:rPr>
        <w:t>3. 抽查复核标准</w:t>
      </w:r>
    </w:p>
    <w:p w14:paraId="047154D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24" w:firstLineChars="200"/>
        <w:jc w:val="left"/>
        <w:textAlignment w:val="auto"/>
        <w:rPr>
          <w:rFonts w:ascii="仿宋_GB2312" w:hAnsi="楷体_GB2312" w:eastAsia="仿宋_GB2312" w:cs="楷体_GB2312"/>
          <w:spacing w:val="-4"/>
          <w:sz w:val="32"/>
          <w:szCs w:val="32"/>
        </w:rPr>
      </w:pPr>
      <w:r>
        <w:rPr>
          <w:rFonts w:hint="eastAsia" w:ascii="仿宋_GB2312" w:hAnsi="楷体_GB2312" w:eastAsia="仿宋_GB2312" w:cs="楷体_GB2312"/>
          <w:spacing w:val="-4"/>
          <w:sz w:val="32"/>
          <w:szCs w:val="32"/>
        </w:rPr>
        <w:t>根据《关于印发</w:t>
      </w:r>
      <w:r>
        <w:rPr>
          <w:rFonts w:hint="eastAsia" w:ascii="仿宋_GB2312" w:hAnsi="楷体_GB2312" w:eastAsia="仿宋_GB2312" w:cs="楷体_GB2312"/>
          <w:spacing w:val="-4"/>
          <w:sz w:val="32"/>
          <w:szCs w:val="32"/>
          <w:lang w:val="en-US" w:eastAsia="zh-CN"/>
        </w:rPr>
        <w:t>&lt;</w:t>
      </w:r>
      <w:r>
        <w:rPr>
          <w:rFonts w:hint="eastAsia" w:ascii="仿宋_GB2312" w:hAnsi="楷体_GB2312" w:eastAsia="仿宋_GB2312" w:cs="楷体_GB2312"/>
          <w:spacing w:val="-4"/>
          <w:sz w:val="32"/>
          <w:szCs w:val="32"/>
        </w:rPr>
        <w:t>青岛西海岸新区预算绩效管理结果应用暂行办法</w:t>
      </w:r>
      <w:r>
        <w:rPr>
          <w:rFonts w:hint="eastAsia" w:ascii="仿宋_GB2312" w:hAnsi="楷体_GB2312" w:eastAsia="仿宋_GB2312" w:cs="楷体_GB2312"/>
          <w:spacing w:val="-4"/>
          <w:sz w:val="32"/>
          <w:szCs w:val="32"/>
          <w:lang w:val="en-US" w:eastAsia="zh-CN"/>
        </w:rPr>
        <w:t>&gt;</w:t>
      </w:r>
      <w:r>
        <w:rPr>
          <w:rFonts w:hint="eastAsia" w:ascii="仿宋_GB2312" w:hAnsi="楷体_GB2312" w:eastAsia="仿宋_GB2312" w:cs="楷体_GB2312"/>
          <w:spacing w:val="-4"/>
          <w:sz w:val="32"/>
          <w:szCs w:val="32"/>
        </w:rPr>
        <w:t>的通知》</w:t>
      </w:r>
      <w:r>
        <w:rPr>
          <w:rFonts w:hint="eastAsia" w:ascii="仿宋_GB2312" w:hAnsi="楷体_GB2312" w:eastAsia="仿宋_GB2312" w:cs="楷体_GB2312"/>
          <w:spacing w:val="-4"/>
          <w:sz w:val="32"/>
          <w:szCs w:val="32"/>
          <w:lang w:val="en-US" w:eastAsia="zh-CN"/>
        </w:rPr>
        <w:t>(</w:t>
      </w:r>
      <w:r>
        <w:rPr>
          <w:rFonts w:hint="eastAsia" w:ascii="仿宋_GB2312" w:eastAsia="仿宋_GB2312"/>
          <w:sz w:val="32"/>
        </w:rPr>
        <w:t>青西新财〔2023〕225号</w:t>
      </w:r>
      <w:r>
        <w:rPr>
          <w:rFonts w:hint="eastAsia" w:ascii="仿宋_GB2312" w:hAnsi="楷体_GB2312" w:eastAsia="仿宋_GB2312" w:cs="楷体_GB2312"/>
          <w:spacing w:val="-4"/>
          <w:sz w:val="32"/>
          <w:szCs w:val="32"/>
          <w:lang w:val="en-US" w:eastAsia="zh-CN"/>
        </w:rPr>
        <w:t>)</w:t>
      </w:r>
      <w:r>
        <w:rPr>
          <w:rFonts w:hint="eastAsia" w:ascii="仿宋_GB2312" w:hAnsi="楷体_GB2312" w:eastAsia="仿宋_GB2312" w:cs="楷体_GB2312"/>
          <w:spacing w:val="-4"/>
          <w:sz w:val="32"/>
          <w:szCs w:val="32"/>
        </w:rPr>
        <w:t>，本次绩效评价综合绩效级别具体分为4个等级：</w:t>
      </w:r>
    </w:p>
    <w:p w14:paraId="3A65772D">
      <w:pPr>
        <w:keepNext w:val="0"/>
        <w:pageBreakBefore w:val="0"/>
        <w:kinsoku/>
        <w:wordWrap/>
        <w:topLinePunct w:val="0"/>
        <w:autoSpaceDE w:val="0"/>
        <w:autoSpaceDN w:val="0"/>
        <w:bidi w:val="0"/>
        <w:adjustRightInd w:val="0"/>
        <w:spacing w:line="560" w:lineRule="exact"/>
        <w:ind w:firstLine="624" w:firstLineChars="200"/>
        <w:jc w:val="left"/>
        <w:rPr>
          <w:rFonts w:ascii="仿宋_GB2312" w:hAnsi="楷体_GB2312" w:eastAsia="仿宋_GB2312" w:cs="楷体_GB2312"/>
          <w:spacing w:val="-4"/>
          <w:sz w:val="32"/>
          <w:szCs w:val="32"/>
        </w:rPr>
      </w:pPr>
      <w:r>
        <w:rPr>
          <w:rFonts w:hint="eastAsia" w:ascii="仿宋_GB2312" w:hAnsi="楷体_GB2312" w:eastAsia="仿宋_GB2312" w:cs="楷体_GB2312"/>
          <w:spacing w:val="-4"/>
          <w:sz w:val="32"/>
          <w:szCs w:val="32"/>
        </w:rPr>
        <w:t>综合得分在90分（含90分）以上为“</w:t>
      </w:r>
      <w:r>
        <w:rPr>
          <w:rFonts w:hint="eastAsia" w:ascii="仿宋_GB2312" w:hAnsi="楷体_GB2312" w:eastAsia="仿宋_GB2312" w:cs="楷体_GB2312"/>
          <w:spacing w:val="-4"/>
          <w:sz w:val="32"/>
          <w:szCs w:val="32"/>
          <w:lang w:val="en-US" w:eastAsia="zh-CN"/>
        </w:rPr>
        <w:t>A</w:t>
      </w:r>
      <w:r>
        <w:rPr>
          <w:rFonts w:hint="eastAsia" w:ascii="仿宋_GB2312" w:hAnsi="楷体_GB2312" w:eastAsia="仿宋_GB2312" w:cs="楷体_GB2312"/>
          <w:spacing w:val="-4"/>
          <w:sz w:val="32"/>
          <w:szCs w:val="32"/>
        </w:rPr>
        <w:t>”；</w:t>
      </w:r>
    </w:p>
    <w:p w14:paraId="41F18AA8">
      <w:pPr>
        <w:keepNext w:val="0"/>
        <w:pageBreakBefore w:val="0"/>
        <w:kinsoku/>
        <w:wordWrap/>
        <w:topLinePunct w:val="0"/>
        <w:autoSpaceDE w:val="0"/>
        <w:autoSpaceDN w:val="0"/>
        <w:bidi w:val="0"/>
        <w:adjustRightInd w:val="0"/>
        <w:spacing w:line="560" w:lineRule="exact"/>
        <w:ind w:firstLine="624" w:firstLineChars="200"/>
        <w:jc w:val="left"/>
        <w:rPr>
          <w:rFonts w:ascii="仿宋_GB2312" w:hAnsi="楷体_GB2312" w:eastAsia="仿宋_GB2312" w:cs="楷体_GB2312"/>
          <w:spacing w:val="-4"/>
          <w:sz w:val="32"/>
          <w:szCs w:val="32"/>
        </w:rPr>
      </w:pPr>
      <w:r>
        <w:rPr>
          <w:rFonts w:hint="eastAsia" w:ascii="仿宋_GB2312" w:hAnsi="楷体_GB2312" w:eastAsia="仿宋_GB2312" w:cs="楷体_GB2312"/>
          <w:spacing w:val="-4"/>
          <w:sz w:val="32"/>
          <w:szCs w:val="32"/>
        </w:rPr>
        <w:t>综合得分在80～90分（含80分）为“</w:t>
      </w:r>
      <w:r>
        <w:rPr>
          <w:rFonts w:hint="eastAsia" w:ascii="仿宋_GB2312" w:hAnsi="楷体_GB2312" w:eastAsia="仿宋_GB2312" w:cs="楷体_GB2312"/>
          <w:spacing w:val="-4"/>
          <w:sz w:val="32"/>
          <w:szCs w:val="32"/>
          <w:lang w:val="en-US" w:eastAsia="zh-CN"/>
        </w:rPr>
        <w:t>B</w:t>
      </w:r>
      <w:r>
        <w:rPr>
          <w:rFonts w:hint="eastAsia" w:ascii="仿宋_GB2312" w:hAnsi="楷体_GB2312" w:eastAsia="仿宋_GB2312" w:cs="楷体_GB2312"/>
          <w:spacing w:val="-4"/>
          <w:sz w:val="32"/>
          <w:szCs w:val="32"/>
        </w:rPr>
        <w:t>”；</w:t>
      </w:r>
    </w:p>
    <w:p w14:paraId="7F9BA1E3">
      <w:pPr>
        <w:keepNext w:val="0"/>
        <w:pageBreakBefore w:val="0"/>
        <w:kinsoku/>
        <w:wordWrap/>
        <w:topLinePunct w:val="0"/>
        <w:autoSpaceDE w:val="0"/>
        <w:autoSpaceDN w:val="0"/>
        <w:bidi w:val="0"/>
        <w:adjustRightInd w:val="0"/>
        <w:spacing w:line="560" w:lineRule="exact"/>
        <w:ind w:firstLine="624" w:firstLineChars="200"/>
        <w:jc w:val="left"/>
        <w:rPr>
          <w:rFonts w:ascii="仿宋_GB2312" w:hAnsi="楷体_GB2312" w:eastAsia="仿宋_GB2312" w:cs="楷体_GB2312"/>
          <w:spacing w:val="-4"/>
          <w:sz w:val="32"/>
          <w:szCs w:val="32"/>
        </w:rPr>
      </w:pPr>
      <w:r>
        <w:rPr>
          <w:rFonts w:hint="eastAsia" w:ascii="仿宋_GB2312" w:hAnsi="楷体_GB2312" w:eastAsia="仿宋_GB2312" w:cs="楷体_GB2312"/>
          <w:spacing w:val="-4"/>
          <w:sz w:val="32"/>
          <w:szCs w:val="32"/>
        </w:rPr>
        <w:t>综合得分在</w:t>
      </w:r>
      <w:r>
        <w:rPr>
          <w:rFonts w:hint="eastAsia" w:ascii="仿宋_GB2312" w:hAnsi="楷体_GB2312" w:eastAsia="仿宋_GB2312" w:cs="楷体_GB2312"/>
          <w:spacing w:val="-4"/>
          <w:sz w:val="32"/>
          <w:szCs w:val="32"/>
          <w:lang w:val="en-US" w:eastAsia="zh-CN"/>
        </w:rPr>
        <w:t>60</w:t>
      </w:r>
      <w:r>
        <w:rPr>
          <w:rFonts w:hint="eastAsia" w:ascii="仿宋_GB2312" w:hAnsi="楷体_GB2312" w:eastAsia="仿宋_GB2312" w:cs="楷体_GB2312"/>
          <w:spacing w:val="-4"/>
          <w:sz w:val="32"/>
          <w:szCs w:val="32"/>
        </w:rPr>
        <w:t>～80分（含</w:t>
      </w:r>
      <w:r>
        <w:rPr>
          <w:rFonts w:hint="eastAsia" w:ascii="仿宋_GB2312" w:hAnsi="楷体_GB2312" w:eastAsia="仿宋_GB2312" w:cs="楷体_GB2312"/>
          <w:spacing w:val="-4"/>
          <w:sz w:val="32"/>
          <w:szCs w:val="32"/>
          <w:lang w:val="en-US" w:eastAsia="zh-CN"/>
        </w:rPr>
        <w:t>6</w:t>
      </w:r>
      <w:r>
        <w:rPr>
          <w:rFonts w:hint="eastAsia" w:ascii="仿宋_GB2312" w:hAnsi="楷体_GB2312" w:eastAsia="仿宋_GB2312" w:cs="楷体_GB2312"/>
          <w:spacing w:val="-4"/>
          <w:sz w:val="32"/>
          <w:szCs w:val="32"/>
        </w:rPr>
        <w:t>0分）为“</w:t>
      </w:r>
      <w:r>
        <w:rPr>
          <w:rFonts w:hint="eastAsia" w:ascii="仿宋_GB2312" w:hAnsi="楷体_GB2312" w:eastAsia="仿宋_GB2312" w:cs="楷体_GB2312"/>
          <w:spacing w:val="-4"/>
          <w:sz w:val="32"/>
          <w:szCs w:val="32"/>
          <w:lang w:val="en-US" w:eastAsia="zh-CN"/>
        </w:rPr>
        <w:t>C</w:t>
      </w:r>
      <w:r>
        <w:rPr>
          <w:rFonts w:hint="eastAsia" w:ascii="仿宋_GB2312" w:hAnsi="楷体_GB2312" w:eastAsia="仿宋_GB2312" w:cs="楷体_GB2312"/>
          <w:spacing w:val="-4"/>
          <w:sz w:val="32"/>
          <w:szCs w:val="32"/>
        </w:rPr>
        <w:t>”；</w:t>
      </w:r>
    </w:p>
    <w:p w14:paraId="0C3F1838">
      <w:pPr>
        <w:keepNext w:val="0"/>
        <w:pageBreakBefore w:val="0"/>
        <w:kinsoku/>
        <w:wordWrap/>
        <w:topLinePunct w:val="0"/>
        <w:autoSpaceDE w:val="0"/>
        <w:autoSpaceDN w:val="0"/>
        <w:bidi w:val="0"/>
        <w:adjustRightInd w:val="0"/>
        <w:spacing w:line="560" w:lineRule="exact"/>
        <w:ind w:firstLine="624" w:firstLineChars="200"/>
        <w:jc w:val="left"/>
        <w:rPr>
          <w:rFonts w:ascii="仿宋_GB2312" w:hAnsi="楷体_GB2312" w:eastAsia="仿宋_GB2312" w:cs="楷体_GB2312"/>
          <w:spacing w:val="-4"/>
          <w:sz w:val="32"/>
          <w:szCs w:val="32"/>
        </w:rPr>
      </w:pPr>
      <w:r>
        <w:rPr>
          <w:rFonts w:hint="eastAsia" w:ascii="仿宋_GB2312" w:hAnsi="楷体_GB2312" w:eastAsia="仿宋_GB2312" w:cs="楷体_GB2312"/>
          <w:spacing w:val="-4"/>
          <w:sz w:val="32"/>
          <w:szCs w:val="32"/>
        </w:rPr>
        <w:t>综合得分在</w:t>
      </w:r>
      <w:r>
        <w:rPr>
          <w:rFonts w:hint="eastAsia" w:ascii="仿宋_GB2312" w:hAnsi="楷体_GB2312" w:eastAsia="仿宋_GB2312" w:cs="楷体_GB2312"/>
          <w:spacing w:val="-4"/>
          <w:sz w:val="32"/>
          <w:szCs w:val="32"/>
          <w:lang w:val="en-US" w:eastAsia="zh-CN"/>
        </w:rPr>
        <w:t>60</w:t>
      </w:r>
      <w:r>
        <w:rPr>
          <w:rFonts w:hint="eastAsia" w:ascii="仿宋_GB2312" w:hAnsi="楷体_GB2312" w:eastAsia="仿宋_GB2312" w:cs="楷体_GB2312"/>
          <w:spacing w:val="-4"/>
          <w:sz w:val="32"/>
          <w:szCs w:val="32"/>
        </w:rPr>
        <w:t>分以下为“</w:t>
      </w:r>
      <w:r>
        <w:rPr>
          <w:rFonts w:hint="eastAsia" w:ascii="仿宋_GB2312" w:hAnsi="楷体_GB2312" w:eastAsia="仿宋_GB2312" w:cs="楷体_GB2312"/>
          <w:spacing w:val="-4"/>
          <w:sz w:val="32"/>
          <w:szCs w:val="32"/>
          <w:lang w:val="en-US" w:eastAsia="zh-CN"/>
        </w:rPr>
        <w:t>D</w:t>
      </w:r>
      <w:r>
        <w:rPr>
          <w:rFonts w:hint="eastAsia" w:ascii="仿宋_GB2312" w:hAnsi="楷体_GB2312" w:eastAsia="仿宋_GB2312" w:cs="楷体_GB2312"/>
          <w:spacing w:val="-4"/>
          <w:sz w:val="32"/>
          <w:szCs w:val="32"/>
        </w:rPr>
        <w:t>”。</w:t>
      </w:r>
    </w:p>
    <w:p w14:paraId="7363D47B">
      <w:pPr>
        <w:keepNext w:val="0"/>
        <w:pageBreakBefore w:val="0"/>
        <w:kinsoku/>
        <w:wordWrap/>
        <w:topLinePunct w:val="0"/>
        <w:bidi w:val="0"/>
        <w:spacing w:line="560" w:lineRule="exact"/>
        <w:ind w:firstLine="640" w:firstLineChars="200"/>
        <w:outlineLvl w:val="0"/>
        <w:rPr>
          <w:rFonts w:ascii="黑体" w:hAnsi="黑体" w:eastAsia="黑体" w:cs="黑体"/>
          <w:sz w:val="32"/>
          <w:szCs w:val="32"/>
        </w:rPr>
      </w:pPr>
      <w:bookmarkStart w:id="17" w:name="_Toc3191"/>
      <w:bookmarkStart w:id="18" w:name="_Toc12238"/>
      <w:bookmarkStart w:id="19" w:name="_Toc28438"/>
      <w:bookmarkStart w:id="20" w:name="_Toc17066"/>
      <w:r>
        <w:rPr>
          <w:rFonts w:hint="eastAsia" w:ascii="黑体" w:hAnsi="黑体" w:eastAsia="黑体" w:cs="黑体"/>
          <w:sz w:val="32"/>
          <w:szCs w:val="32"/>
        </w:rPr>
        <w:t>二、绩效自评开展情况</w:t>
      </w:r>
      <w:bookmarkEnd w:id="17"/>
      <w:bookmarkEnd w:id="18"/>
      <w:bookmarkEnd w:id="19"/>
      <w:bookmarkEnd w:id="20"/>
    </w:p>
    <w:p w14:paraId="70A04864">
      <w:pPr>
        <w:keepNext w:val="0"/>
        <w:pageBreakBefore w:val="0"/>
        <w:kinsoku/>
        <w:wordWrap/>
        <w:topLinePunct w:val="0"/>
        <w:autoSpaceDE w:val="0"/>
        <w:autoSpaceDN w:val="0"/>
        <w:bidi w:val="0"/>
        <w:adjustRightInd w:val="0"/>
        <w:spacing w:line="560" w:lineRule="exact"/>
        <w:ind w:firstLine="624" w:firstLineChars="200"/>
        <w:jc w:val="left"/>
        <w:outlineLvl w:val="1"/>
        <w:rPr>
          <w:rFonts w:ascii="楷体_GB2312" w:hAnsi="楷体_GB2312" w:eastAsia="楷体_GB2312" w:cs="楷体_GB2312"/>
          <w:spacing w:val="-4"/>
          <w:sz w:val="32"/>
          <w:szCs w:val="32"/>
        </w:rPr>
      </w:pPr>
      <w:bookmarkStart w:id="21" w:name="_Toc16329"/>
      <w:bookmarkStart w:id="22" w:name="_Toc13477"/>
      <w:bookmarkStart w:id="23" w:name="_Toc26575"/>
      <w:bookmarkStart w:id="24" w:name="_Toc5665"/>
      <w:r>
        <w:rPr>
          <w:rFonts w:hint="eastAsia" w:ascii="楷体_GB2312" w:hAnsi="楷体_GB2312" w:eastAsia="楷体_GB2312" w:cs="楷体_GB2312"/>
          <w:spacing w:val="-4"/>
          <w:sz w:val="32"/>
          <w:szCs w:val="32"/>
        </w:rPr>
        <w:t>（一）绩效自评整体情况（单位自评情况，不是抽查复核情况）</w:t>
      </w:r>
      <w:bookmarkEnd w:id="21"/>
      <w:bookmarkEnd w:id="22"/>
      <w:bookmarkEnd w:id="23"/>
      <w:bookmarkEnd w:id="24"/>
    </w:p>
    <w:p w14:paraId="62A3261D">
      <w:pPr>
        <w:keepNext w:val="0"/>
        <w:pageBreakBefore w:val="0"/>
        <w:kinsoku/>
        <w:wordWrap/>
        <w:topLinePunct w:val="0"/>
        <w:autoSpaceDE w:val="0"/>
        <w:autoSpaceDN w:val="0"/>
        <w:bidi w:val="0"/>
        <w:adjustRightInd w:val="0"/>
        <w:spacing w:line="560" w:lineRule="exact"/>
        <w:ind w:firstLine="624" w:firstLineChars="200"/>
        <w:jc w:val="left"/>
        <w:rPr>
          <w:rFonts w:hint="eastAsia" w:ascii="仿宋_GB2312" w:hAnsi="楷体_GB2312" w:eastAsia="仿宋_GB2312" w:cs="楷体_GB2312"/>
          <w:spacing w:val="-4"/>
          <w:sz w:val="32"/>
          <w:szCs w:val="32"/>
        </w:rPr>
      </w:pPr>
      <w:r>
        <w:rPr>
          <w:rFonts w:hint="eastAsia" w:ascii="仿宋_GB2312" w:hAnsi="楷体_GB2312" w:eastAsia="仿宋_GB2312" w:cs="楷体_GB2312"/>
          <w:spacing w:val="-4"/>
          <w:sz w:val="32"/>
          <w:szCs w:val="32"/>
        </w:rPr>
        <w:t>单位自评情况完整、规范、及时报送、及时审核；总得分</w:t>
      </w:r>
      <w:r>
        <w:rPr>
          <w:rFonts w:hint="eastAsia" w:ascii="仿宋_GB2312" w:hAnsi="楷体_GB2312" w:eastAsia="仿宋_GB2312" w:cs="楷体_GB2312"/>
          <w:spacing w:val="-4"/>
          <w:sz w:val="32"/>
          <w:szCs w:val="32"/>
          <w:lang w:val="en-US" w:eastAsia="zh-CN"/>
        </w:rPr>
        <w:t>99.57</w:t>
      </w:r>
      <w:r>
        <w:rPr>
          <w:rFonts w:hint="eastAsia" w:ascii="仿宋_GB2312" w:hAnsi="楷体_GB2312" w:eastAsia="仿宋_GB2312" w:cs="楷体_GB2312"/>
          <w:spacing w:val="-4"/>
          <w:sz w:val="32"/>
          <w:szCs w:val="32"/>
        </w:rPr>
        <w:t>，评价等级</w:t>
      </w:r>
      <w:r>
        <w:rPr>
          <w:rFonts w:hint="eastAsia" w:ascii="仿宋_GB2312" w:hAnsi="楷体_GB2312" w:eastAsia="仿宋_GB2312" w:cs="楷体_GB2312"/>
          <w:spacing w:val="-4"/>
          <w:sz w:val="32"/>
          <w:szCs w:val="32"/>
          <w:lang w:eastAsia="zh-CN"/>
        </w:rPr>
        <w:t>：</w:t>
      </w:r>
      <w:r>
        <w:rPr>
          <w:rFonts w:hint="eastAsia" w:ascii="仿宋_GB2312" w:hAnsi="楷体_GB2312" w:eastAsia="仿宋_GB2312" w:cs="楷体_GB2312"/>
          <w:spacing w:val="-4"/>
          <w:sz w:val="32"/>
          <w:szCs w:val="32"/>
          <w:lang w:val="en-US" w:eastAsia="zh-CN"/>
        </w:rPr>
        <w:t>A</w:t>
      </w:r>
      <w:r>
        <w:rPr>
          <w:rFonts w:hint="eastAsia" w:ascii="仿宋_GB2312" w:hAnsi="楷体_GB2312" w:eastAsia="仿宋_GB2312" w:cs="楷体_GB2312"/>
          <w:spacing w:val="-4"/>
          <w:sz w:val="32"/>
          <w:szCs w:val="32"/>
        </w:rPr>
        <w:t>。</w:t>
      </w:r>
    </w:p>
    <w:p w14:paraId="4E4AFEB0">
      <w:pPr>
        <w:keepNext w:val="0"/>
        <w:pageBreakBefore w:val="0"/>
        <w:kinsoku/>
        <w:wordWrap/>
        <w:topLinePunct w:val="0"/>
        <w:autoSpaceDE w:val="0"/>
        <w:autoSpaceDN w:val="0"/>
        <w:bidi w:val="0"/>
        <w:adjustRightInd w:val="0"/>
        <w:spacing w:line="560" w:lineRule="exact"/>
        <w:ind w:firstLine="624" w:firstLineChars="200"/>
        <w:jc w:val="left"/>
        <w:rPr>
          <w:rFonts w:hint="eastAsia" w:ascii="仿宋_GB2312" w:hAnsi="楷体_GB2312" w:eastAsia="仿宋_GB2312" w:cs="楷体_GB2312"/>
          <w:spacing w:val="-4"/>
          <w:sz w:val="32"/>
          <w:szCs w:val="32"/>
        </w:rPr>
      </w:pPr>
      <w:r>
        <w:rPr>
          <w:rFonts w:hint="eastAsia" w:ascii="仿宋_GB2312" w:hAnsi="楷体_GB2312" w:eastAsia="仿宋_GB2312" w:cs="楷体_GB2312"/>
          <w:spacing w:val="-4"/>
          <w:sz w:val="32"/>
          <w:szCs w:val="32"/>
        </w:rPr>
        <w:t>预算执行情况</w:t>
      </w:r>
      <w:r>
        <w:rPr>
          <w:rFonts w:hint="eastAsia" w:ascii="仿宋_GB2312" w:hAnsi="楷体_GB2312" w:eastAsia="仿宋_GB2312" w:cs="楷体_GB2312"/>
          <w:spacing w:val="-4"/>
          <w:sz w:val="32"/>
          <w:szCs w:val="32"/>
          <w:lang w:eastAsia="zh-CN"/>
        </w:rPr>
        <w:t>：</w:t>
      </w:r>
      <w:r>
        <w:rPr>
          <w:rFonts w:hint="eastAsia" w:ascii="仿宋_GB2312" w:hAnsi="楷体_GB2312" w:eastAsia="仿宋_GB2312" w:cs="楷体_GB2312"/>
          <w:spacing w:val="-4"/>
          <w:sz w:val="32"/>
          <w:szCs w:val="32"/>
        </w:rPr>
        <w:t>年初预算</w:t>
      </w:r>
      <w:r>
        <w:rPr>
          <w:rFonts w:hint="eastAsia" w:ascii="仿宋_GB2312" w:hAnsi="楷体_GB2312" w:eastAsia="仿宋_GB2312" w:cs="楷体_GB2312"/>
          <w:spacing w:val="-4"/>
          <w:sz w:val="32"/>
          <w:szCs w:val="32"/>
          <w:lang w:val="en-US" w:eastAsia="zh-CN"/>
        </w:rPr>
        <w:t>489.53</w:t>
      </w:r>
      <w:r>
        <w:rPr>
          <w:rFonts w:hint="eastAsia" w:ascii="仿宋_GB2312" w:hAnsi="楷体_GB2312" w:eastAsia="仿宋_GB2312" w:cs="楷体_GB2312"/>
          <w:spacing w:val="-4"/>
          <w:sz w:val="32"/>
          <w:szCs w:val="32"/>
        </w:rPr>
        <w:t>万元，调整后的预算数</w:t>
      </w:r>
      <w:r>
        <w:rPr>
          <w:rFonts w:hint="eastAsia" w:ascii="仿宋_GB2312" w:hAnsi="楷体_GB2312" w:eastAsia="仿宋_GB2312" w:cs="楷体_GB2312"/>
          <w:spacing w:val="-4"/>
          <w:sz w:val="32"/>
          <w:szCs w:val="32"/>
          <w:lang w:val="en-US" w:eastAsia="zh-CN"/>
        </w:rPr>
        <w:t>489.53万元，</w:t>
      </w:r>
      <w:r>
        <w:rPr>
          <w:rFonts w:hint="eastAsia" w:ascii="仿宋_GB2312" w:hAnsi="楷体_GB2312" w:eastAsia="仿宋_GB2312" w:cs="楷体_GB2312"/>
          <w:spacing w:val="-4"/>
          <w:sz w:val="32"/>
          <w:szCs w:val="32"/>
        </w:rPr>
        <w:t>全年执行</w:t>
      </w:r>
      <w:r>
        <w:rPr>
          <w:rFonts w:hint="eastAsia" w:ascii="仿宋_GB2312" w:hAnsi="楷体_GB2312" w:eastAsia="仿宋_GB2312" w:cs="楷体_GB2312"/>
          <w:spacing w:val="-4"/>
          <w:sz w:val="32"/>
          <w:szCs w:val="32"/>
          <w:lang w:val="en-US" w:eastAsia="zh-CN"/>
        </w:rPr>
        <w:t>468.69</w:t>
      </w:r>
      <w:r>
        <w:rPr>
          <w:rFonts w:hint="eastAsia" w:ascii="仿宋_GB2312" w:hAnsi="楷体_GB2312" w:eastAsia="仿宋_GB2312" w:cs="楷体_GB2312"/>
          <w:spacing w:val="-4"/>
          <w:sz w:val="32"/>
          <w:szCs w:val="32"/>
        </w:rPr>
        <w:t>万元，执行率</w:t>
      </w:r>
      <w:r>
        <w:rPr>
          <w:rFonts w:hint="eastAsia" w:ascii="仿宋_GB2312" w:hAnsi="楷体_GB2312" w:eastAsia="仿宋_GB2312" w:cs="楷体_GB2312"/>
          <w:spacing w:val="-4"/>
          <w:sz w:val="32"/>
          <w:szCs w:val="32"/>
          <w:lang w:val="en-US" w:eastAsia="zh-CN"/>
        </w:rPr>
        <w:t>95.74</w:t>
      </w:r>
      <w:r>
        <w:rPr>
          <w:rFonts w:hint="eastAsia" w:ascii="仿宋_GB2312" w:hAnsi="楷体_GB2312" w:eastAsia="仿宋_GB2312" w:cs="楷体_GB2312"/>
          <w:spacing w:val="-4"/>
          <w:sz w:val="32"/>
          <w:szCs w:val="32"/>
        </w:rPr>
        <w:t>%，得分</w:t>
      </w:r>
      <w:r>
        <w:rPr>
          <w:rFonts w:hint="eastAsia" w:ascii="仿宋_GB2312" w:hAnsi="楷体_GB2312" w:eastAsia="仿宋_GB2312" w:cs="楷体_GB2312"/>
          <w:spacing w:val="-4"/>
          <w:sz w:val="32"/>
          <w:szCs w:val="32"/>
          <w:lang w:val="en-US" w:eastAsia="zh-CN"/>
        </w:rPr>
        <w:t>10</w:t>
      </w:r>
      <w:r>
        <w:rPr>
          <w:rFonts w:hint="eastAsia" w:ascii="仿宋_GB2312" w:hAnsi="楷体_GB2312" w:eastAsia="仿宋_GB2312" w:cs="楷体_GB2312"/>
          <w:spacing w:val="-4"/>
          <w:sz w:val="32"/>
          <w:szCs w:val="32"/>
        </w:rPr>
        <w:t>分。</w:t>
      </w:r>
    </w:p>
    <w:p w14:paraId="71029B5C">
      <w:pPr>
        <w:keepNext w:val="0"/>
        <w:pageBreakBefore w:val="0"/>
        <w:kinsoku/>
        <w:wordWrap/>
        <w:topLinePunct w:val="0"/>
        <w:autoSpaceDE w:val="0"/>
        <w:autoSpaceDN w:val="0"/>
        <w:bidi w:val="0"/>
        <w:adjustRightInd w:val="0"/>
        <w:spacing w:line="560" w:lineRule="exact"/>
        <w:ind w:firstLine="624" w:firstLineChars="200"/>
        <w:jc w:val="left"/>
        <w:rPr>
          <w:rFonts w:ascii="仿宋_GB2312" w:hAnsi="楷体_GB2312" w:eastAsia="仿宋_GB2312" w:cs="楷体_GB2312"/>
          <w:spacing w:val="-4"/>
          <w:sz w:val="32"/>
          <w:szCs w:val="32"/>
        </w:rPr>
      </w:pPr>
      <w:r>
        <w:rPr>
          <w:rFonts w:hint="eastAsia" w:ascii="仿宋_GB2312" w:hAnsi="楷体_GB2312" w:eastAsia="仿宋_GB2312" w:cs="楷体_GB2312"/>
          <w:spacing w:val="-4"/>
          <w:sz w:val="32"/>
          <w:szCs w:val="32"/>
        </w:rPr>
        <w:t>绩效目标完成情况</w:t>
      </w:r>
      <w:r>
        <w:rPr>
          <w:rFonts w:hint="eastAsia" w:ascii="仿宋_GB2312" w:hAnsi="楷体_GB2312" w:eastAsia="仿宋_GB2312" w:cs="楷体_GB2312"/>
          <w:spacing w:val="-4"/>
          <w:sz w:val="32"/>
          <w:szCs w:val="32"/>
          <w:lang w:eastAsia="zh-CN"/>
        </w:rPr>
        <w:t>：</w:t>
      </w:r>
      <w:r>
        <w:rPr>
          <w:rFonts w:hint="eastAsia" w:ascii="仿宋_GB2312" w:hAnsi="楷体_GB2312" w:eastAsia="仿宋_GB2312" w:cs="楷体_GB2312"/>
          <w:spacing w:val="-4"/>
          <w:sz w:val="32"/>
          <w:szCs w:val="32"/>
        </w:rPr>
        <w:t>制定绩效目标</w:t>
      </w:r>
      <w:r>
        <w:rPr>
          <w:rFonts w:hint="eastAsia" w:ascii="仿宋_GB2312" w:hAnsi="楷体_GB2312" w:eastAsia="仿宋_GB2312" w:cs="楷体_GB2312"/>
          <w:spacing w:val="-4"/>
          <w:sz w:val="32"/>
          <w:szCs w:val="32"/>
          <w:lang w:val="en-US" w:eastAsia="zh-CN"/>
        </w:rPr>
        <w:t>9</w:t>
      </w:r>
      <w:r>
        <w:rPr>
          <w:rFonts w:hint="eastAsia" w:ascii="仿宋_GB2312" w:hAnsi="楷体_GB2312" w:eastAsia="仿宋_GB2312" w:cs="楷体_GB2312"/>
          <w:spacing w:val="-4"/>
          <w:sz w:val="32"/>
          <w:szCs w:val="32"/>
        </w:rPr>
        <w:t>条，已完成绩效目标</w:t>
      </w:r>
      <w:r>
        <w:rPr>
          <w:rFonts w:hint="eastAsia" w:ascii="仿宋_GB2312" w:hAnsi="楷体_GB2312" w:eastAsia="仿宋_GB2312" w:cs="楷体_GB2312"/>
          <w:spacing w:val="-4"/>
          <w:sz w:val="32"/>
          <w:szCs w:val="32"/>
          <w:lang w:val="en-US" w:eastAsia="zh-CN"/>
        </w:rPr>
        <w:t>9</w:t>
      </w:r>
      <w:r>
        <w:rPr>
          <w:rFonts w:hint="eastAsia" w:ascii="仿宋_GB2312" w:hAnsi="楷体_GB2312" w:eastAsia="仿宋_GB2312" w:cs="楷体_GB2312"/>
          <w:spacing w:val="-4"/>
          <w:sz w:val="32"/>
          <w:szCs w:val="32"/>
        </w:rPr>
        <w:t>条，得分90分。</w:t>
      </w:r>
    </w:p>
    <w:p w14:paraId="12CE6079">
      <w:pPr>
        <w:keepNext w:val="0"/>
        <w:pageBreakBefore w:val="0"/>
        <w:numPr>
          <w:ilvl w:val="0"/>
          <w:numId w:val="1"/>
        </w:numPr>
        <w:kinsoku/>
        <w:wordWrap/>
        <w:topLinePunct w:val="0"/>
        <w:autoSpaceDE w:val="0"/>
        <w:autoSpaceDN w:val="0"/>
        <w:bidi w:val="0"/>
        <w:adjustRightInd w:val="0"/>
        <w:spacing w:line="560" w:lineRule="exact"/>
        <w:ind w:firstLine="624" w:firstLineChars="200"/>
        <w:jc w:val="left"/>
        <w:outlineLvl w:val="1"/>
        <w:rPr>
          <w:rFonts w:hint="eastAsia" w:ascii="楷体_GB2312" w:hAnsi="楷体_GB2312" w:eastAsia="楷体_GB2312" w:cs="楷体_GB2312"/>
          <w:spacing w:val="-4"/>
          <w:sz w:val="32"/>
          <w:szCs w:val="32"/>
        </w:rPr>
      </w:pPr>
      <w:bookmarkStart w:id="25" w:name="_Toc23927"/>
      <w:bookmarkStart w:id="26" w:name="_Toc8801"/>
      <w:bookmarkStart w:id="27" w:name="_Toc10272"/>
      <w:bookmarkStart w:id="28" w:name="_Toc14915"/>
      <w:r>
        <w:rPr>
          <w:rFonts w:hint="eastAsia" w:ascii="楷体_GB2312" w:hAnsi="楷体_GB2312" w:eastAsia="楷体_GB2312" w:cs="楷体_GB2312"/>
          <w:spacing w:val="-4"/>
          <w:sz w:val="32"/>
          <w:szCs w:val="32"/>
        </w:rPr>
        <w:t>主要成效</w:t>
      </w:r>
      <w:bookmarkEnd w:id="25"/>
      <w:bookmarkEnd w:id="26"/>
      <w:bookmarkEnd w:id="27"/>
      <w:bookmarkEnd w:id="28"/>
    </w:p>
    <w:p w14:paraId="366F70AC">
      <w:pPr>
        <w:keepNext w:val="0"/>
        <w:pageBreakBefore w:val="0"/>
        <w:kinsoku/>
        <w:wordWrap/>
        <w:topLinePunct w:val="0"/>
        <w:bidi w:val="0"/>
        <w:spacing w:line="560" w:lineRule="exact"/>
        <w:ind w:firstLine="624" w:firstLineChars="200"/>
        <w:outlineLvl w:val="0"/>
        <w:rPr>
          <w:rFonts w:hint="default" w:ascii="楷体_GB2312" w:hAnsi="楷体_GB2312" w:eastAsia="楷体_GB2312" w:cs="楷体_GB2312"/>
          <w:spacing w:val="-4"/>
          <w:sz w:val="32"/>
          <w:szCs w:val="32"/>
          <w:lang w:val="en-US" w:eastAsia="zh-CN"/>
        </w:rPr>
      </w:pPr>
      <w:r>
        <w:rPr>
          <w:rFonts w:hint="eastAsia" w:ascii="仿宋_GB2312" w:hAnsi="楷体_GB2312" w:eastAsia="仿宋_GB2312" w:cs="楷体_GB2312"/>
          <w:spacing w:val="-4"/>
          <w:sz w:val="32"/>
          <w:szCs w:val="32"/>
        </w:rPr>
        <w:t>通过保障劳务派遣人员工资、餐费等，激发司法辅助人员的工作积极性和职业责任感，减少人员流失，打造一支听从指挥、管理有序、使用有力的司法辅助队伍。</w:t>
      </w:r>
    </w:p>
    <w:p w14:paraId="4612A67B">
      <w:pPr>
        <w:keepNext w:val="0"/>
        <w:pageBreakBefore w:val="0"/>
        <w:kinsoku/>
        <w:wordWrap/>
        <w:topLinePunct w:val="0"/>
        <w:bidi w:val="0"/>
        <w:spacing w:line="560" w:lineRule="exact"/>
        <w:ind w:firstLine="640" w:firstLineChars="200"/>
        <w:outlineLvl w:val="0"/>
        <w:rPr>
          <w:rFonts w:ascii="黑体" w:hAnsi="黑体" w:eastAsia="黑体" w:cs="黑体"/>
          <w:sz w:val="32"/>
          <w:szCs w:val="32"/>
        </w:rPr>
      </w:pPr>
      <w:bookmarkStart w:id="29" w:name="_Toc5430"/>
      <w:bookmarkStart w:id="30" w:name="_Toc16284"/>
      <w:bookmarkStart w:id="31" w:name="_Toc19161"/>
      <w:bookmarkStart w:id="32" w:name="_Toc23295"/>
      <w:r>
        <w:rPr>
          <w:rFonts w:hint="eastAsia" w:ascii="黑体" w:hAnsi="黑体" w:eastAsia="黑体" w:cs="黑体"/>
          <w:sz w:val="32"/>
          <w:szCs w:val="32"/>
        </w:rPr>
        <w:t>三、绩效自评抽查复核情况</w:t>
      </w:r>
      <w:bookmarkEnd w:id="29"/>
      <w:bookmarkEnd w:id="30"/>
      <w:bookmarkEnd w:id="31"/>
      <w:bookmarkEnd w:id="32"/>
    </w:p>
    <w:p w14:paraId="4BF22125">
      <w:pPr>
        <w:keepNext w:val="0"/>
        <w:pageBreakBefore w:val="0"/>
        <w:tabs>
          <w:tab w:val="left" w:pos="7230"/>
          <w:tab w:val="left" w:pos="7938"/>
        </w:tabs>
        <w:kinsoku/>
        <w:wordWrap/>
        <w:topLinePunct w:val="0"/>
        <w:bidi w:val="0"/>
        <w:spacing w:line="560" w:lineRule="exact"/>
        <w:ind w:firstLine="640" w:firstLineChars="200"/>
        <w:jc w:val="left"/>
        <w:outlineLvl w:val="1"/>
        <w:rPr>
          <w:rFonts w:ascii="楷体_GB2312" w:hAnsi="楷体_GB2312" w:eastAsia="楷体_GB2312" w:cs="楷体_GB2312"/>
          <w:bCs/>
          <w:spacing w:val="-4"/>
          <w:sz w:val="32"/>
          <w:szCs w:val="32"/>
        </w:rPr>
      </w:pPr>
      <w:bookmarkStart w:id="33" w:name="_Toc13544"/>
      <w:bookmarkStart w:id="34" w:name="_Toc31627"/>
      <w:bookmarkStart w:id="35" w:name="_Toc20219"/>
      <w:bookmarkStart w:id="36" w:name="_Toc23965"/>
      <w:r>
        <w:rPr>
          <w:rFonts w:hint="eastAsia" w:ascii="楷体_GB2312" w:hAnsi="楷体_GB2312" w:eastAsia="楷体_GB2312" w:cs="楷体_GB2312"/>
          <w:sz w:val="32"/>
          <w:szCs w:val="32"/>
        </w:rPr>
        <w:t>（一）自评和抽查复核评分结果差异率分析</w:t>
      </w:r>
      <w:bookmarkEnd w:id="33"/>
      <w:bookmarkEnd w:id="34"/>
      <w:bookmarkEnd w:id="35"/>
      <w:bookmarkEnd w:id="36"/>
    </w:p>
    <w:p w14:paraId="73863A7B">
      <w:pPr>
        <w:keepNext w:val="0"/>
        <w:pageBreakBefore w:val="0"/>
        <w:tabs>
          <w:tab w:val="left" w:pos="7230"/>
          <w:tab w:val="left" w:pos="7938"/>
        </w:tabs>
        <w:kinsoku/>
        <w:wordWrap/>
        <w:topLinePunct w:val="0"/>
        <w:bidi w:val="0"/>
        <w:spacing w:line="560" w:lineRule="exact"/>
        <w:ind w:firstLine="641" w:firstLineChars="200"/>
        <w:jc w:val="left"/>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1.差异率整体情况</w:t>
      </w:r>
    </w:p>
    <w:p w14:paraId="5D6C303F">
      <w:pPr>
        <w:keepNext w:val="0"/>
        <w:pageBreakBefore w:val="0"/>
        <w:kinsoku/>
        <w:wordWrap/>
        <w:topLinePunct w:val="0"/>
        <w:bidi w:val="0"/>
        <w:spacing w:line="560" w:lineRule="exact"/>
        <w:ind w:firstLine="624" w:firstLineChars="200"/>
        <w:rPr>
          <w:rFonts w:ascii="仿宋_GB2312" w:hAnsi="楷体_GB2312" w:eastAsia="仿宋_GB2312" w:cs="楷体_GB2312"/>
          <w:spacing w:val="-4"/>
          <w:sz w:val="32"/>
          <w:szCs w:val="32"/>
        </w:rPr>
      </w:pPr>
      <w:r>
        <w:rPr>
          <w:rFonts w:hint="eastAsia" w:ascii="仿宋_GB2312" w:hAnsi="楷体_GB2312" w:eastAsia="仿宋_GB2312" w:cs="楷体_GB2312"/>
          <w:spacing w:val="-4"/>
          <w:sz w:val="32"/>
          <w:szCs w:val="32"/>
        </w:rPr>
        <w:t>自评得分</w:t>
      </w:r>
      <w:r>
        <w:rPr>
          <w:rFonts w:hint="eastAsia" w:ascii="仿宋_GB2312" w:hAnsi="楷体_GB2312" w:eastAsia="仿宋_GB2312" w:cs="楷体_GB2312"/>
          <w:spacing w:val="-4"/>
          <w:sz w:val="32"/>
          <w:szCs w:val="32"/>
          <w:lang w:val="en-US" w:eastAsia="zh-CN"/>
        </w:rPr>
        <w:t>100</w:t>
      </w:r>
      <w:r>
        <w:rPr>
          <w:rFonts w:hint="eastAsia" w:ascii="仿宋_GB2312" w:hAnsi="楷体_GB2312" w:eastAsia="仿宋_GB2312" w:cs="楷体_GB2312"/>
          <w:spacing w:val="-4"/>
          <w:sz w:val="32"/>
          <w:szCs w:val="32"/>
        </w:rPr>
        <w:t>，复核得分</w:t>
      </w:r>
      <w:r>
        <w:rPr>
          <w:rFonts w:hint="eastAsia" w:ascii="仿宋_GB2312" w:hAnsi="楷体_GB2312" w:eastAsia="仿宋_GB2312" w:cs="楷体_GB2312"/>
          <w:spacing w:val="-4"/>
          <w:sz w:val="32"/>
          <w:szCs w:val="32"/>
          <w:lang w:val="en-US" w:eastAsia="zh-CN"/>
        </w:rPr>
        <w:t>99.57</w:t>
      </w:r>
      <w:r>
        <w:rPr>
          <w:rFonts w:hint="eastAsia" w:ascii="仿宋_GB2312" w:hAnsi="楷体_GB2312" w:eastAsia="仿宋_GB2312" w:cs="楷体_GB2312"/>
          <w:spacing w:val="-4"/>
          <w:sz w:val="32"/>
          <w:szCs w:val="32"/>
        </w:rPr>
        <w:t>，差异值</w:t>
      </w:r>
      <w:r>
        <w:rPr>
          <w:rFonts w:hint="eastAsia" w:ascii="仿宋_GB2312" w:hAnsi="楷体_GB2312" w:eastAsia="仿宋_GB2312" w:cs="楷体_GB2312"/>
          <w:spacing w:val="-4"/>
          <w:sz w:val="32"/>
          <w:szCs w:val="32"/>
          <w:lang w:eastAsia="zh-CN"/>
        </w:rPr>
        <w:t>位</w:t>
      </w:r>
      <w:r>
        <w:rPr>
          <w:rFonts w:hint="eastAsia" w:ascii="仿宋_GB2312" w:hAnsi="楷体_GB2312" w:eastAsia="仿宋_GB2312" w:cs="楷体_GB2312"/>
          <w:spacing w:val="-4"/>
          <w:sz w:val="32"/>
          <w:szCs w:val="32"/>
          <w:lang w:val="en-US" w:eastAsia="zh-CN"/>
        </w:rPr>
        <w:t>0.43</w:t>
      </w:r>
      <w:r>
        <w:rPr>
          <w:rFonts w:hint="eastAsia" w:ascii="仿宋_GB2312" w:hAnsi="楷体_GB2312" w:eastAsia="仿宋_GB2312" w:cs="楷体_GB2312"/>
          <w:spacing w:val="-4"/>
          <w:sz w:val="32"/>
          <w:szCs w:val="32"/>
        </w:rPr>
        <w:t>，差异率</w:t>
      </w:r>
      <w:r>
        <w:rPr>
          <w:rFonts w:hint="eastAsia" w:ascii="仿宋_GB2312" w:hAnsi="楷体_GB2312" w:eastAsia="仿宋_GB2312" w:cs="楷体_GB2312"/>
          <w:spacing w:val="-4"/>
          <w:sz w:val="32"/>
          <w:szCs w:val="32"/>
          <w:lang w:val="en-US" w:eastAsia="zh-CN"/>
        </w:rPr>
        <w:t>-0.43%</w:t>
      </w:r>
      <w:r>
        <w:rPr>
          <w:rFonts w:hint="eastAsia" w:ascii="仿宋_GB2312" w:hAnsi="楷体_GB2312" w:eastAsia="仿宋_GB2312" w:cs="楷体_GB2312"/>
          <w:spacing w:val="-4"/>
          <w:sz w:val="32"/>
          <w:szCs w:val="32"/>
        </w:rPr>
        <w:t>，差异个数</w:t>
      </w:r>
      <w:r>
        <w:rPr>
          <w:rFonts w:hint="eastAsia" w:ascii="仿宋_GB2312" w:hAnsi="楷体_GB2312" w:eastAsia="仿宋_GB2312" w:cs="楷体_GB2312"/>
          <w:spacing w:val="-4"/>
          <w:sz w:val="32"/>
          <w:szCs w:val="32"/>
          <w:lang w:val="en-US" w:eastAsia="zh-CN"/>
        </w:rPr>
        <w:t>1个，</w:t>
      </w:r>
      <w:r>
        <w:rPr>
          <w:rFonts w:hint="eastAsia" w:ascii="仿宋_GB2312" w:hAnsi="楷体_GB2312" w:eastAsia="仿宋_GB2312" w:cs="楷体_GB2312"/>
          <w:spacing w:val="-4"/>
          <w:sz w:val="32"/>
          <w:szCs w:val="32"/>
        </w:rPr>
        <w:t>占自评项目总数比重</w:t>
      </w:r>
      <w:r>
        <w:rPr>
          <w:rFonts w:hint="eastAsia" w:ascii="仿宋_GB2312" w:hAnsi="楷体_GB2312" w:eastAsia="仿宋_GB2312" w:cs="楷体_GB2312"/>
          <w:spacing w:val="-4"/>
          <w:sz w:val="32"/>
          <w:szCs w:val="32"/>
          <w:lang w:val="en-US" w:eastAsia="zh-CN"/>
        </w:rPr>
        <w:t>100%</w:t>
      </w:r>
      <w:r>
        <w:rPr>
          <w:rFonts w:hint="eastAsia" w:ascii="仿宋_GB2312" w:hAnsi="楷体_GB2312" w:eastAsia="仿宋_GB2312" w:cs="楷体_GB2312"/>
          <w:spacing w:val="-4"/>
          <w:sz w:val="32"/>
          <w:szCs w:val="32"/>
        </w:rPr>
        <w:t>。</w:t>
      </w:r>
    </w:p>
    <w:p w14:paraId="315BBFA2">
      <w:pPr>
        <w:keepNext w:val="0"/>
        <w:pageBreakBefore w:val="0"/>
        <w:tabs>
          <w:tab w:val="left" w:pos="7230"/>
          <w:tab w:val="left" w:pos="7938"/>
        </w:tabs>
        <w:kinsoku/>
        <w:wordWrap/>
        <w:topLinePunct w:val="0"/>
        <w:bidi w:val="0"/>
        <w:spacing w:line="560" w:lineRule="exact"/>
        <w:ind w:firstLine="641" w:firstLineChars="200"/>
        <w:jc w:val="left"/>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2.差异率主要原因</w:t>
      </w:r>
    </w:p>
    <w:p w14:paraId="35196ED9">
      <w:pPr>
        <w:keepNext w:val="0"/>
        <w:pageBreakBefore w:val="0"/>
        <w:tabs>
          <w:tab w:val="left" w:pos="7230"/>
          <w:tab w:val="left" w:pos="7938"/>
        </w:tabs>
        <w:kinsoku/>
        <w:wordWrap/>
        <w:topLinePunct w:val="0"/>
        <w:bidi w:val="0"/>
        <w:spacing w:line="560" w:lineRule="exact"/>
        <w:ind w:firstLine="624" w:firstLineChars="200"/>
        <w:jc w:val="left"/>
        <w:rPr>
          <w:rFonts w:hint="eastAsia" w:ascii="仿宋_GB2312" w:hAnsi="楷体_GB2312" w:eastAsia="仿宋_GB2312" w:cs="楷体_GB2312"/>
          <w:spacing w:val="-4"/>
          <w:sz w:val="32"/>
          <w:szCs w:val="32"/>
          <w:highlight w:val="none"/>
          <w:lang w:eastAsia="zh-CN"/>
        </w:rPr>
      </w:pPr>
      <w:r>
        <w:rPr>
          <w:rFonts w:hint="eastAsia" w:ascii="仿宋_GB2312" w:hAnsi="楷体_GB2312" w:eastAsia="仿宋_GB2312" w:cs="楷体_GB2312"/>
          <w:spacing w:val="-4"/>
          <w:sz w:val="32"/>
          <w:szCs w:val="32"/>
          <w:highlight w:val="none"/>
          <w:lang w:eastAsia="zh-CN"/>
        </w:rPr>
        <w:t>项目执行情况</w:t>
      </w:r>
      <w:r>
        <w:rPr>
          <w:rFonts w:hint="eastAsia" w:ascii="仿宋_GB2312" w:hAnsi="楷体_GB2312" w:eastAsia="仿宋_GB2312" w:cs="楷体_GB2312"/>
          <w:spacing w:val="-4"/>
          <w:sz w:val="32"/>
          <w:szCs w:val="32"/>
          <w:highlight w:val="none"/>
        </w:rPr>
        <w:t xml:space="preserve"> </w:t>
      </w:r>
      <w:r>
        <w:rPr>
          <w:rFonts w:hint="eastAsia" w:ascii="仿宋_GB2312" w:hAnsi="楷体_GB2312" w:eastAsia="仿宋_GB2312" w:cs="楷体_GB2312"/>
          <w:spacing w:val="-4"/>
          <w:sz w:val="32"/>
          <w:szCs w:val="32"/>
          <w:highlight w:val="none"/>
          <w:lang w:eastAsia="zh-CN"/>
        </w:rPr>
        <w:t>：自评表中年初预算</w:t>
      </w:r>
      <w:r>
        <w:rPr>
          <w:rFonts w:hint="eastAsia" w:ascii="仿宋_GB2312" w:hAnsi="楷体_GB2312" w:eastAsia="仿宋_GB2312" w:cs="楷体_GB2312"/>
          <w:spacing w:val="-4"/>
          <w:sz w:val="32"/>
          <w:szCs w:val="32"/>
          <w:highlight w:val="none"/>
          <w:lang w:val="en-US" w:eastAsia="zh-CN"/>
        </w:rPr>
        <w:t>489.53万元，调整后的预算数489.53万元，全年执行数468.69万元，预算执行率95.74%，</w:t>
      </w:r>
      <w:r>
        <w:rPr>
          <w:rFonts w:hint="eastAsia" w:ascii="仿宋_GB2312" w:hAnsi="楷体_GB2312" w:eastAsia="仿宋_GB2312" w:cs="楷体_GB2312"/>
          <w:spacing w:val="-4"/>
          <w:sz w:val="32"/>
          <w:szCs w:val="32"/>
          <w:highlight w:val="none"/>
          <w:lang w:eastAsia="zh-CN"/>
        </w:rPr>
        <w:t>指标分值</w:t>
      </w:r>
      <w:r>
        <w:rPr>
          <w:rFonts w:hint="eastAsia" w:ascii="仿宋_GB2312" w:hAnsi="楷体_GB2312" w:eastAsia="仿宋_GB2312" w:cs="楷体_GB2312"/>
          <w:spacing w:val="-4"/>
          <w:sz w:val="32"/>
          <w:szCs w:val="32"/>
          <w:highlight w:val="none"/>
          <w:lang w:val="en-US" w:eastAsia="zh-CN"/>
        </w:rPr>
        <w:t>10</w:t>
      </w:r>
      <w:r>
        <w:rPr>
          <w:rFonts w:hint="eastAsia" w:ascii="仿宋_GB2312" w:hAnsi="楷体_GB2312" w:eastAsia="仿宋_GB2312" w:cs="楷体_GB2312"/>
          <w:spacing w:val="-4"/>
          <w:sz w:val="32"/>
          <w:szCs w:val="32"/>
          <w:highlight w:val="none"/>
          <w:lang w:eastAsia="zh-CN"/>
        </w:rPr>
        <w:t>分，自评得分</w:t>
      </w:r>
      <w:r>
        <w:rPr>
          <w:rFonts w:hint="eastAsia" w:ascii="仿宋_GB2312" w:hAnsi="楷体_GB2312" w:eastAsia="仿宋_GB2312" w:cs="楷体_GB2312"/>
          <w:spacing w:val="-4"/>
          <w:sz w:val="32"/>
          <w:szCs w:val="32"/>
          <w:highlight w:val="none"/>
          <w:lang w:val="en-US" w:eastAsia="zh-CN"/>
        </w:rPr>
        <w:t>10</w:t>
      </w:r>
      <w:r>
        <w:rPr>
          <w:rFonts w:hint="eastAsia" w:ascii="仿宋_GB2312" w:hAnsi="楷体_GB2312" w:eastAsia="仿宋_GB2312" w:cs="楷体_GB2312"/>
          <w:spacing w:val="-4"/>
          <w:sz w:val="32"/>
          <w:szCs w:val="32"/>
          <w:highlight w:val="none"/>
          <w:lang w:eastAsia="zh-CN"/>
        </w:rPr>
        <w:t>分，复核得分</w:t>
      </w:r>
      <w:r>
        <w:rPr>
          <w:rFonts w:hint="eastAsia" w:ascii="仿宋_GB2312" w:hAnsi="楷体_GB2312" w:eastAsia="仿宋_GB2312" w:cs="楷体_GB2312"/>
          <w:spacing w:val="-4"/>
          <w:sz w:val="32"/>
          <w:szCs w:val="32"/>
          <w:highlight w:val="none"/>
          <w:lang w:val="en-US" w:eastAsia="zh-CN"/>
        </w:rPr>
        <w:t>9.57</w:t>
      </w:r>
      <w:r>
        <w:rPr>
          <w:rFonts w:hint="eastAsia" w:ascii="仿宋_GB2312" w:hAnsi="楷体_GB2312" w:eastAsia="仿宋_GB2312" w:cs="楷体_GB2312"/>
          <w:spacing w:val="-4"/>
          <w:sz w:val="32"/>
          <w:szCs w:val="32"/>
          <w:highlight w:val="none"/>
          <w:lang w:eastAsia="zh-CN"/>
        </w:rPr>
        <w:t>分，复核扣分原因：调整后预算数应为年初预算数</w:t>
      </w:r>
      <w:r>
        <w:rPr>
          <w:rFonts w:hint="eastAsia" w:ascii="仿宋_GB2312" w:hAnsi="楷体_GB2312" w:eastAsia="仿宋_GB2312" w:cs="楷体_GB2312"/>
          <w:spacing w:val="-4"/>
          <w:sz w:val="32"/>
          <w:szCs w:val="32"/>
          <w:highlight w:val="none"/>
          <w:lang w:val="en-US" w:eastAsia="zh-CN"/>
        </w:rPr>
        <w:t>489.53万元</w:t>
      </w:r>
      <w:r>
        <w:rPr>
          <w:rFonts w:hint="eastAsia" w:ascii="仿宋_GB2312" w:hAnsi="楷体_GB2312" w:eastAsia="仿宋_GB2312" w:cs="楷体_GB2312"/>
          <w:spacing w:val="-4"/>
          <w:sz w:val="32"/>
          <w:szCs w:val="32"/>
          <w:highlight w:val="none"/>
          <w:lang w:eastAsia="zh-CN"/>
        </w:rPr>
        <w:t>，实际预算执行率为</w:t>
      </w:r>
      <w:r>
        <w:rPr>
          <w:rFonts w:hint="eastAsia" w:ascii="仿宋_GB2312" w:hAnsi="楷体_GB2312" w:eastAsia="仿宋_GB2312" w:cs="楷体_GB2312"/>
          <w:spacing w:val="-4"/>
          <w:sz w:val="32"/>
          <w:szCs w:val="32"/>
          <w:highlight w:val="none"/>
          <w:lang w:val="en-US" w:eastAsia="zh-CN"/>
        </w:rPr>
        <w:t>95.74%，</w:t>
      </w:r>
      <w:r>
        <w:rPr>
          <w:rFonts w:hint="eastAsia" w:ascii="仿宋_GB2312" w:hAnsi="楷体_GB2312" w:eastAsia="仿宋_GB2312" w:cs="楷体_GB2312"/>
          <w:spacing w:val="-4"/>
          <w:sz w:val="32"/>
          <w:szCs w:val="32"/>
          <w:highlight w:val="none"/>
          <w:lang w:eastAsia="zh-CN"/>
        </w:rPr>
        <w:t>该项项目执行情况得分</w:t>
      </w:r>
      <w:r>
        <w:rPr>
          <w:rFonts w:hint="eastAsia" w:ascii="仿宋_GB2312" w:hAnsi="楷体_GB2312" w:eastAsia="仿宋_GB2312" w:cs="楷体_GB2312"/>
          <w:spacing w:val="-4"/>
          <w:sz w:val="32"/>
          <w:szCs w:val="32"/>
          <w:highlight w:val="none"/>
          <w:lang w:val="en-US" w:eastAsia="zh-CN"/>
        </w:rPr>
        <w:t>9.57分</w:t>
      </w:r>
      <w:r>
        <w:rPr>
          <w:rFonts w:hint="eastAsia" w:ascii="仿宋_GB2312" w:hAnsi="楷体_GB2312" w:eastAsia="仿宋_GB2312" w:cs="楷体_GB2312"/>
          <w:spacing w:val="-4"/>
          <w:sz w:val="32"/>
          <w:szCs w:val="32"/>
          <w:highlight w:val="none"/>
          <w:lang w:eastAsia="zh-CN"/>
        </w:rPr>
        <w:t>。</w:t>
      </w:r>
    </w:p>
    <w:p w14:paraId="579980C7">
      <w:pPr>
        <w:keepNext w:val="0"/>
        <w:pageBreakBefore w:val="0"/>
        <w:tabs>
          <w:tab w:val="left" w:pos="7230"/>
          <w:tab w:val="left" w:pos="7938"/>
        </w:tabs>
        <w:kinsoku/>
        <w:wordWrap/>
        <w:topLinePunct w:val="0"/>
        <w:bidi w:val="0"/>
        <w:spacing w:line="560" w:lineRule="exact"/>
        <w:ind w:firstLine="640" w:firstLineChars="200"/>
        <w:jc w:val="left"/>
        <w:outlineLvl w:val="1"/>
        <w:rPr>
          <w:rFonts w:ascii="楷体_GB2312" w:hAnsi="楷体_GB2312" w:eastAsia="楷体_GB2312" w:cs="楷体_GB2312"/>
          <w:sz w:val="32"/>
          <w:szCs w:val="32"/>
        </w:rPr>
      </w:pPr>
      <w:bookmarkStart w:id="37" w:name="_Toc10063"/>
      <w:r>
        <w:rPr>
          <w:rFonts w:hint="eastAsia" w:ascii="楷体_GB2312" w:hAnsi="楷体_GB2312" w:eastAsia="楷体_GB2312" w:cs="楷体_GB2312"/>
          <w:sz w:val="32"/>
          <w:szCs w:val="32"/>
        </w:rPr>
        <w:t>（二）抽查复核发现的问题</w:t>
      </w:r>
      <w:bookmarkEnd w:id="37"/>
    </w:p>
    <w:p w14:paraId="5124490F">
      <w:pPr>
        <w:keepNext w:val="0"/>
        <w:pageBreakBefore w:val="0"/>
        <w:kinsoku/>
        <w:wordWrap/>
        <w:topLinePunct w:val="0"/>
        <w:bidi w:val="0"/>
        <w:spacing w:line="560" w:lineRule="exact"/>
        <w:ind w:firstLine="640" w:firstLineChars="200"/>
        <w:rPr>
          <w:rFonts w:hint="default" w:ascii="仿宋_GB2312" w:hAnsi="仿宋_GB2312" w:eastAsia="仿宋_GB2312" w:cs="仿宋_GB2312"/>
          <w:sz w:val="32"/>
          <w:szCs w:val="32"/>
          <w:lang w:val="en-US" w:eastAsia="zh-CN"/>
        </w:rPr>
      </w:pPr>
      <w:bookmarkStart w:id="38" w:name="_Toc19466"/>
      <w:bookmarkStart w:id="39" w:name="_Toc23144"/>
      <w:bookmarkStart w:id="40" w:name="_Toc10337"/>
      <w:bookmarkStart w:id="41" w:name="_Toc23943"/>
      <w:r>
        <w:rPr>
          <w:rFonts w:hint="eastAsia" w:ascii="仿宋_GB2312" w:hAnsi="仿宋_GB2312" w:eastAsia="仿宋_GB2312" w:cs="仿宋_GB2312"/>
          <w:sz w:val="32"/>
          <w:szCs w:val="32"/>
          <w:lang w:val="en-US" w:eastAsia="zh-CN"/>
        </w:rPr>
        <w:t>单位自评时，项目预算执行情况填写不准确，全年无预算调整，预算调整数应为年初预算数，导致预算执行率略有偏差。</w:t>
      </w:r>
    </w:p>
    <w:p w14:paraId="21614E2B">
      <w:pPr>
        <w:keepNext w:val="0"/>
        <w:pageBreakBefore w:val="0"/>
        <w:kinsoku/>
        <w:wordWrap/>
        <w:topLinePunct w:val="0"/>
        <w:bidi w:val="0"/>
        <w:spacing w:line="560" w:lineRule="exact"/>
        <w:ind w:firstLine="640" w:firstLineChars="200"/>
        <w:outlineLvl w:val="0"/>
        <w:rPr>
          <w:rFonts w:ascii="黑体" w:hAnsi="黑体" w:eastAsia="黑体" w:cs="黑体"/>
          <w:sz w:val="32"/>
          <w:szCs w:val="32"/>
        </w:rPr>
      </w:pPr>
      <w:r>
        <w:rPr>
          <w:rFonts w:hint="eastAsia" w:ascii="黑体" w:hAnsi="黑体" w:eastAsia="黑体" w:cs="黑体"/>
          <w:sz w:val="32"/>
          <w:szCs w:val="32"/>
        </w:rPr>
        <w:t>四、意见建议</w:t>
      </w:r>
      <w:bookmarkEnd w:id="38"/>
      <w:bookmarkEnd w:id="39"/>
      <w:bookmarkEnd w:id="40"/>
      <w:bookmarkEnd w:id="41"/>
    </w:p>
    <w:p w14:paraId="2224E2C8">
      <w:pPr>
        <w:keepNext w:val="0"/>
        <w:pageBreakBefore w:val="0"/>
        <w:kinsoku/>
        <w:wordWrap/>
        <w:topLinePunct w:val="0"/>
        <w:bidi w:val="0"/>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多措并举提升绩效评价质量。强化绩效目标管理，规范绩效目标编制。编制绩效目标时，要结合项目实际情况，科学设置绩效目标；加强单位财务、项目负责人等绩效评价知识的培训、学习，提升绩效评价水平。</w:t>
      </w:r>
    </w:p>
    <w:p w14:paraId="27073D7C">
      <w:pPr>
        <w:keepNext w:val="0"/>
        <w:pageBreakBefore w:val="0"/>
        <w:kinsoku/>
        <w:wordWrap/>
        <w:topLinePunct w:val="0"/>
        <w:bidi w:val="0"/>
        <w:spacing w:line="560" w:lineRule="exact"/>
        <w:ind w:left="1598" w:leftChars="304" w:hanging="960" w:hangingChars="300"/>
        <w:rPr>
          <w:rFonts w:ascii="仿宋_GB2312" w:hAnsi="仿宋_GB2312" w:eastAsia="仿宋_GB2312" w:cs="仿宋_GB2312"/>
          <w:sz w:val="32"/>
          <w:szCs w:val="32"/>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2025</w:t>
      </w:r>
      <w:r>
        <w:rPr>
          <w:rFonts w:hint="eastAsia" w:ascii="仿宋_GB2312" w:hAnsi="仿宋_GB2312" w:eastAsia="仿宋_GB2312" w:cs="仿宋_GB2312"/>
          <w:sz w:val="32"/>
          <w:szCs w:val="32"/>
        </w:rPr>
        <w:t>年度三513-劳务派遣人员经费资金单位自评抽</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查复核差异率统计表</w:t>
      </w:r>
    </w:p>
    <w:sectPr>
      <w:footerReference r:id="rId4" w:type="default"/>
      <w:pgSz w:w="11906" w:h="16838"/>
      <w:pgMar w:top="2098" w:right="1417" w:bottom="1871" w:left="1531" w:header="851" w:footer="992" w:gutter="0"/>
      <w:pgNumType w:start="1"/>
      <w:cols w:space="0" w:num="1"/>
      <w:docGrid w:type="line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Droid Sans Fallbac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CESI黑体-GB13000"/>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Droid Sans Fallback">
    <w:panose1 w:val="020B0502000000000001"/>
    <w:charset w:val="86"/>
    <w:family w:val="auto"/>
    <w:pitch w:val="default"/>
    <w:sig w:usb0="910002FF" w:usb1="2BDFFCFB" w:usb2="00000036" w:usb3="00000000" w:csb0="203F01FF" w:csb1="D7FF0000"/>
  </w:font>
  <w:font w:name="Calibri Light">
    <w:altName w:val="DejaVu Sans"/>
    <w:panose1 w:val="020F0302020204030204"/>
    <w:charset w:val="00"/>
    <w:family w:val="swiss"/>
    <w:pitch w:val="default"/>
    <w:sig w:usb0="00000000" w:usb1="00000000" w:usb2="00000009" w:usb3="00000000" w:csb0="200001FF" w:csb1="00000000"/>
  </w:font>
  <w:font w:name="仿宋_GB2312">
    <w:altName w:val="CESI仿宋-GB13000"/>
    <w:panose1 w:val="02010609030101010101"/>
    <w:charset w:val="86"/>
    <w:family w:val="modern"/>
    <w:pitch w:val="default"/>
    <w:sig w:usb0="00000000" w:usb1="00000000" w:usb2="00000000" w:usb3="00000000" w:csb0="00040000" w:csb1="00000000"/>
  </w:font>
  <w:font w:name="CESI仿宋-GB13000">
    <w:panose1 w:val="02000500000000000000"/>
    <w:charset w:val="86"/>
    <w:family w:val="auto"/>
    <w:pitch w:val="default"/>
    <w:sig w:usb0="800002BF" w:usb1="18CF7CF8" w:usb2="00000016" w:usb3="00000000" w:csb0="0004000F" w:csb1="00000000"/>
  </w:font>
  <w:font w:name="CESI黑体-GB13000">
    <w:panose1 w:val="02000500000000000000"/>
    <w:charset w:val="86"/>
    <w:family w:val="auto"/>
    <w:pitch w:val="default"/>
    <w:sig w:usb0="800002BF" w:usb1="38CF7CF8" w:usb2="00000016" w:usb3="00000000" w:csb0="0004000F" w:csb1="00000000"/>
  </w:font>
  <w:font w:name="方正小标宋简体">
    <w:altName w:val="CESI小标宋-GB13000"/>
    <w:panose1 w:val="03000509000000000000"/>
    <w:charset w:val="86"/>
    <w:family w:val="script"/>
    <w:pitch w:val="default"/>
    <w:sig w:usb0="00000000" w:usb1="00000000" w:usb2="00000000" w:usb3="00000000" w:csb0="00040000" w:csb1="00000000"/>
  </w:font>
  <w:font w:name="CESI小标宋-GB13000">
    <w:panose1 w:val="02000500000000000000"/>
    <w:charset w:val="86"/>
    <w:family w:val="auto"/>
    <w:pitch w:val="default"/>
    <w:sig w:usb0="800002BF" w:usb1="18CF7CF8" w:usb2="00000016" w:usb3="00000000" w:csb0="0004000F" w:csb1="00000000"/>
  </w:font>
  <w:font w:name="方正小标宋_GBK">
    <w:altName w:val="CESI小标宋-GB13000"/>
    <w:panose1 w:val="02000000000000000000"/>
    <w:charset w:val="86"/>
    <w:family w:val="script"/>
    <w:pitch w:val="default"/>
    <w:sig w:usb0="00000000" w:usb1="00000000" w:usb2="00000000" w:usb3="00000000" w:csb0="00040000" w:csb1="00000000"/>
  </w:font>
  <w:font w:name="文星简黑体">
    <w:altName w:val="Noto Sans CJK SC"/>
    <w:panose1 w:val="00000000000000000000"/>
    <w:charset w:val="86"/>
    <w:family w:val="roman"/>
    <w:pitch w:val="default"/>
    <w:sig w:usb0="00000000" w:usb1="00000000" w:usb2="00000010" w:usb3="00000000" w:csb0="00040000" w:csb1="00000000"/>
  </w:font>
  <w:font w:name="Noto Sans CJK SC">
    <w:panose1 w:val="020B0500000000000000"/>
    <w:charset w:val="86"/>
    <w:family w:val="auto"/>
    <w:pitch w:val="default"/>
    <w:sig w:usb0="30000083" w:usb1="2BDF3C10" w:usb2="00000016" w:usb3="00000000" w:csb0="602E0107" w:csb1="00000000"/>
  </w:font>
  <w:font w:name="Cambria">
    <w:altName w:val="Liberation Serif"/>
    <w:panose1 w:val="02040503050406030204"/>
    <w:charset w:val="00"/>
    <w:family w:val="roman"/>
    <w:pitch w:val="default"/>
    <w:sig w:usb0="00000000" w:usb1="00000000" w:usb2="02000000" w:usb3="00000000" w:csb0="2000019F" w:csb1="00000000"/>
  </w:font>
  <w:font w:name="Liberation Serif">
    <w:panose1 w:val="02020603050405020304"/>
    <w:charset w:val="00"/>
    <w:family w:val="auto"/>
    <w:pitch w:val="default"/>
    <w:sig w:usb0="A00002AF" w:usb1="500078FB" w:usb2="00000000" w:usb3="00000000" w:csb0="6000009F" w:csb1="DFD70000"/>
  </w:font>
  <w:font w:name="楷体">
    <w:altName w:val="CESI楷体-GB13000"/>
    <w:panose1 w:val="02010609060101010101"/>
    <w:charset w:val="86"/>
    <w:family w:val="modern"/>
    <w:pitch w:val="default"/>
    <w:sig w:usb0="00000000" w:usb1="00000000" w:usb2="00000016" w:usb3="00000000" w:csb0="00040001" w:csb1="00000000"/>
  </w:font>
  <w:font w:name="CESI楷体-GB13000">
    <w:panose1 w:val="02000500000000000000"/>
    <w:charset w:val="86"/>
    <w:family w:val="auto"/>
    <w:pitch w:val="default"/>
    <w:sig w:usb0="800002BF" w:usb1="38CF7CF8" w:usb2="00000016" w:usb3="00000000" w:csb0="0004000F" w:csb1="00000000"/>
  </w:font>
  <w:font w:name="楷体_GB2312">
    <w:altName w:val="CESI楷体-GB13000"/>
    <w:panose1 w:val="02010609030101010101"/>
    <w:charset w:val="86"/>
    <w:family w:val="auto"/>
    <w:pitch w:val="default"/>
    <w:sig w:usb0="00000000" w:usb1="00000000" w:usb2="00000000" w:usb3="00000000" w:csb0="00040000" w:csb1="00000000"/>
  </w:font>
  <w:font w:name="仿宋">
    <w:altName w:val="CESI仿宋-GB13000"/>
    <w:panose1 w:val="02010609060101010101"/>
    <w:charset w:val="86"/>
    <w:family w:val="modern"/>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DAF58">
    <w:pPr>
      <w:pStyle w:val="8"/>
    </w:pPr>
    <w:r>
      <w:pict>
        <v:shape id="_x0000_s6146" o:spid="_x0000_s6146" o:spt="202" type="#_x0000_t202" style="position:absolute;left:0pt;margin-top:0pt;height:10.35pt;width:6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">
          <v:path/>
          <v:fill on="f" focussize="0,0"/>
          <v:stroke on="f" joinstyle="miter"/>
          <v:imagedata o:title=""/>
          <o:lock v:ext="edit"/>
          <v:textbox inset="0mm,0mm,0mm,0mm" style="mso-fit-shape-to-text:t;">
            <w:txbxContent>
              <w:p w14:paraId="112F0E04">
                <w:pPr>
                  <w:pStyle w:val="8"/>
                  <w:rPr>
                    <w:rFonts w:eastAsia="仿宋_GB2312"/>
                  </w:rPr>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73EAD">
    <w:pPr>
      <w:pStyle w:val="8"/>
      <w:jc w:val="center"/>
    </w:pPr>
    <w:r>
      <w:pict>
        <v:shape id="文本框 1025" o:spid="_x0000_s6145"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">
          <v:path/>
          <v:fill on="f" focussize="0,0"/>
          <v:stroke on="f" joinstyle="miter"/>
          <v:imagedata o:title=""/>
          <o:lock v:ext="edit"/>
          <v:textbox inset="0mm,0mm,0mm,0mm" style="mso-fit-shape-to-text:t;">
            <w:txbxContent>
              <w:sdt>
                <w:sdtPr>
                  <w:id w:val="2009340"/>
                </w:sdtPr>
                <w:sdtContent>
                  <w:p w14:paraId="50E5750D">
                    <w:pPr>
                      <w:pStyle w:val="8"/>
                      <w:jc w:val="center"/>
                    </w:pPr>
                    <w:r>
                      <w:fldChar w:fldCharType="begin"/>
                    </w:r>
                    <w:r>
                      <w:instrText xml:space="preserve"> PAGE   \* MERGEFORMAT </w:instrText>
                    </w:r>
                    <w:r>
                      <w:fldChar w:fldCharType="separate"/>
                    </w:r>
                    <w:r>
                      <w:rPr>
                        <w:lang w:val="zh-CN"/>
                      </w:rPr>
                      <w:t>3</w:t>
                    </w:r>
                    <w:r>
                      <w:rPr>
                        <w:lang w:val="zh-CN"/>
                      </w:rPr>
                      <w:fldChar w:fldCharType="end"/>
                    </w:r>
                  </w:p>
                </w:sdtContent>
              </w:sdt>
              <w:p w14:paraId="4A912D10"/>
            </w:txbxContent>
          </v:textbox>
        </v:shape>
      </w:pict>
    </w:r>
  </w:p>
  <w:p w14:paraId="1864F070">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6BCB7E"/>
    <w:multiLevelType w:val="singleLevel"/>
    <w:tmpl w:val="EC6BCB7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VerticalDrawingGridEvery w:val="2"/>
  <w:noPunctuationKerning w:val="1"/>
  <w:characterSpacingControl w:val="compressPunctuation"/>
  <w:hdrShapeDefaults>
    <o:shapelayout v:ext="edit">
      <o:idmap v:ext="edit" data="6"/>
    </o:shapelayout>
  </w:hdrShapeDefaults>
  <w:compat>
    <w:spaceForUL/>
    <w:balanceSingleByteDoubleByteWidth/>
    <w:doNotLeaveBackslashAlone/>
    <w:doNotExpandShiftReturn/>
    <w:adjustLineHeightInTable/>
    <w:useFELayout/>
    <w:compatSetting w:name="compatibilityMode" w:uri="http://schemas.microsoft.com/office/word" w:val="12"/>
  </w:compat>
  <w:rsids>
    <w:rsidRoot w:val="002C6E0A"/>
    <w:rsid w:val="00010727"/>
    <w:rsid w:val="00014EA2"/>
    <w:rsid w:val="0003589F"/>
    <w:rsid w:val="00043DF3"/>
    <w:rsid w:val="000563D5"/>
    <w:rsid w:val="000577B9"/>
    <w:rsid w:val="000636F9"/>
    <w:rsid w:val="0006647B"/>
    <w:rsid w:val="000737AA"/>
    <w:rsid w:val="000801F1"/>
    <w:rsid w:val="0008748A"/>
    <w:rsid w:val="0009575E"/>
    <w:rsid w:val="00095B50"/>
    <w:rsid w:val="000A40EE"/>
    <w:rsid w:val="000B1D08"/>
    <w:rsid w:val="000C3C1B"/>
    <w:rsid w:val="000D3373"/>
    <w:rsid w:val="001135BA"/>
    <w:rsid w:val="001206F0"/>
    <w:rsid w:val="0012565A"/>
    <w:rsid w:val="0015068A"/>
    <w:rsid w:val="00152A35"/>
    <w:rsid w:val="00161D22"/>
    <w:rsid w:val="00174BA7"/>
    <w:rsid w:val="00176583"/>
    <w:rsid w:val="00183181"/>
    <w:rsid w:val="0018610B"/>
    <w:rsid w:val="001B2FB5"/>
    <w:rsid w:val="001B3197"/>
    <w:rsid w:val="001D1D99"/>
    <w:rsid w:val="001E3E39"/>
    <w:rsid w:val="002048EB"/>
    <w:rsid w:val="00237242"/>
    <w:rsid w:val="002468EB"/>
    <w:rsid w:val="0026070A"/>
    <w:rsid w:val="00273295"/>
    <w:rsid w:val="002813FC"/>
    <w:rsid w:val="00283E33"/>
    <w:rsid w:val="00290E2D"/>
    <w:rsid w:val="00290F07"/>
    <w:rsid w:val="002957FC"/>
    <w:rsid w:val="0029636A"/>
    <w:rsid w:val="002A1998"/>
    <w:rsid w:val="002A1C20"/>
    <w:rsid w:val="002A61F2"/>
    <w:rsid w:val="002B51FD"/>
    <w:rsid w:val="002C3530"/>
    <w:rsid w:val="002C6E0A"/>
    <w:rsid w:val="002C7185"/>
    <w:rsid w:val="002C7FB7"/>
    <w:rsid w:val="002E5A6B"/>
    <w:rsid w:val="002F2930"/>
    <w:rsid w:val="002F544F"/>
    <w:rsid w:val="00310B92"/>
    <w:rsid w:val="00313DFD"/>
    <w:rsid w:val="00324D55"/>
    <w:rsid w:val="003517B5"/>
    <w:rsid w:val="003536DF"/>
    <w:rsid w:val="00360AFD"/>
    <w:rsid w:val="00393121"/>
    <w:rsid w:val="0039481A"/>
    <w:rsid w:val="003A6426"/>
    <w:rsid w:val="003B3CC8"/>
    <w:rsid w:val="003B79A7"/>
    <w:rsid w:val="003C2355"/>
    <w:rsid w:val="003D73C3"/>
    <w:rsid w:val="003E2EFB"/>
    <w:rsid w:val="003E6275"/>
    <w:rsid w:val="003F1160"/>
    <w:rsid w:val="003F244E"/>
    <w:rsid w:val="003F3E83"/>
    <w:rsid w:val="00400287"/>
    <w:rsid w:val="00416DB7"/>
    <w:rsid w:val="0042136C"/>
    <w:rsid w:val="004227A7"/>
    <w:rsid w:val="004331AE"/>
    <w:rsid w:val="00433E27"/>
    <w:rsid w:val="00440748"/>
    <w:rsid w:val="004439C8"/>
    <w:rsid w:val="00444B55"/>
    <w:rsid w:val="00461372"/>
    <w:rsid w:val="00472B5A"/>
    <w:rsid w:val="004752CF"/>
    <w:rsid w:val="004931D3"/>
    <w:rsid w:val="004A3F52"/>
    <w:rsid w:val="004A7821"/>
    <w:rsid w:val="004B24EE"/>
    <w:rsid w:val="004B3F4D"/>
    <w:rsid w:val="004B787E"/>
    <w:rsid w:val="004C1728"/>
    <w:rsid w:val="004D59E2"/>
    <w:rsid w:val="004D64CA"/>
    <w:rsid w:val="004E0471"/>
    <w:rsid w:val="00501429"/>
    <w:rsid w:val="00502674"/>
    <w:rsid w:val="005031D7"/>
    <w:rsid w:val="00505169"/>
    <w:rsid w:val="00510185"/>
    <w:rsid w:val="00512841"/>
    <w:rsid w:val="00523A5F"/>
    <w:rsid w:val="00524F42"/>
    <w:rsid w:val="00530A97"/>
    <w:rsid w:val="0057107B"/>
    <w:rsid w:val="00571AF0"/>
    <w:rsid w:val="00571E4F"/>
    <w:rsid w:val="00573DF7"/>
    <w:rsid w:val="00581B67"/>
    <w:rsid w:val="00582EBE"/>
    <w:rsid w:val="0058412E"/>
    <w:rsid w:val="00584546"/>
    <w:rsid w:val="005A0B71"/>
    <w:rsid w:val="005A3B28"/>
    <w:rsid w:val="005B3F93"/>
    <w:rsid w:val="005C24BB"/>
    <w:rsid w:val="005C265A"/>
    <w:rsid w:val="005E02B8"/>
    <w:rsid w:val="005E24D8"/>
    <w:rsid w:val="005F5B75"/>
    <w:rsid w:val="006065EE"/>
    <w:rsid w:val="006141C7"/>
    <w:rsid w:val="006159A5"/>
    <w:rsid w:val="006172E3"/>
    <w:rsid w:val="006231C2"/>
    <w:rsid w:val="00624043"/>
    <w:rsid w:val="006319D0"/>
    <w:rsid w:val="00635C66"/>
    <w:rsid w:val="00641F0B"/>
    <w:rsid w:val="00661B5C"/>
    <w:rsid w:val="00665615"/>
    <w:rsid w:val="00670426"/>
    <w:rsid w:val="0067156B"/>
    <w:rsid w:val="00681B50"/>
    <w:rsid w:val="006A077F"/>
    <w:rsid w:val="006A15F8"/>
    <w:rsid w:val="006A55E7"/>
    <w:rsid w:val="006A759F"/>
    <w:rsid w:val="006B01FF"/>
    <w:rsid w:val="006C09BE"/>
    <w:rsid w:val="006C44BB"/>
    <w:rsid w:val="006D4355"/>
    <w:rsid w:val="006E056C"/>
    <w:rsid w:val="006E1764"/>
    <w:rsid w:val="006F1B1F"/>
    <w:rsid w:val="006F6449"/>
    <w:rsid w:val="006F760D"/>
    <w:rsid w:val="00703267"/>
    <w:rsid w:val="0070447B"/>
    <w:rsid w:val="007164AD"/>
    <w:rsid w:val="00740DAC"/>
    <w:rsid w:val="00741D32"/>
    <w:rsid w:val="00755168"/>
    <w:rsid w:val="00761E2E"/>
    <w:rsid w:val="00772A2A"/>
    <w:rsid w:val="00777A8E"/>
    <w:rsid w:val="0079762D"/>
    <w:rsid w:val="007D4A53"/>
    <w:rsid w:val="007E4C19"/>
    <w:rsid w:val="007E6ED1"/>
    <w:rsid w:val="008115C6"/>
    <w:rsid w:val="00815BD8"/>
    <w:rsid w:val="008202F9"/>
    <w:rsid w:val="0082476D"/>
    <w:rsid w:val="00832D23"/>
    <w:rsid w:val="00835275"/>
    <w:rsid w:val="0083688E"/>
    <w:rsid w:val="0084261B"/>
    <w:rsid w:val="00847DB7"/>
    <w:rsid w:val="008571BB"/>
    <w:rsid w:val="00887F03"/>
    <w:rsid w:val="008968AC"/>
    <w:rsid w:val="00896E17"/>
    <w:rsid w:val="008A2816"/>
    <w:rsid w:val="008B461D"/>
    <w:rsid w:val="008C7CEA"/>
    <w:rsid w:val="00901FD7"/>
    <w:rsid w:val="009043CE"/>
    <w:rsid w:val="00914EF7"/>
    <w:rsid w:val="00915DE2"/>
    <w:rsid w:val="00920952"/>
    <w:rsid w:val="00925C04"/>
    <w:rsid w:val="00925D9B"/>
    <w:rsid w:val="00926636"/>
    <w:rsid w:val="00926D7C"/>
    <w:rsid w:val="00937E9B"/>
    <w:rsid w:val="0094570E"/>
    <w:rsid w:val="00950A48"/>
    <w:rsid w:val="009556F6"/>
    <w:rsid w:val="0096180C"/>
    <w:rsid w:val="009700EC"/>
    <w:rsid w:val="00973A87"/>
    <w:rsid w:val="009A33C8"/>
    <w:rsid w:val="009A6A1D"/>
    <w:rsid w:val="009B3E81"/>
    <w:rsid w:val="009B5BDF"/>
    <w:rsid w:val="009C5F1E"/>
    <w:rsid w:val="009C5F7C"/>
    <w:rsid w:val="009C79CB"/>
    <w:rsid w:val="009D3EAB"/>
    <w:rsid w:val="009E7B34"/>
    <w:rsid w:val="00A031C5"/>
    <w:rsid w:val="00A14DF0"/>
    <w:rsid w:val="00A33A1A"/>
    <w:rsid w:val="00A60EC5"/>
    <w:rsid w:val="00A73369"/>
    <w:rsid w:val="00A86278"/>
    <w:rsid w:val="00A87A99"/>
    <w:rsid w:val="00A97BFE"/>
    <w:rsid w:val="00AA32F1"/>
    <w:rsid w:val="00AA3529"/>
    <w:rsid w:val="00AC2533"/>
    <w:rsid w:val="00AC26CB"/>
    <w:rsid w:val="00AE35FF"/>
    <w:rsid w:val="00AF01F5"/>
    <w:rsid w:val="00B012DD"/>
    <w:rsid w:val="00B01E8E"/>
    <w:rsid w:val="00B0369A"/>
    <w:rsid w:val="00B1546B"/>
    <w:rsid w:val="00B331B5"/>
    <w:rsid w:val="00B56938"/>
    <w:rsid w:val="00B56ED5"/>
    <w:rsid w:val="00B6277C"/>
    <w:rsid w:val="00B81185"/>
    <w:rsid w:val="00B93653"/>
    <w:rsid w:val="00B97B8B"/>
    <w:rsid w:val="00BB2C7E"/>
    <w:rsid w:val="00C03A2D"/>
    <w:rsid w:val="00C04675"/>
    <w:rsid w:val="00C138DD"/>
    <w:rsid w:val="00C2774E"/>
    <w:rsid w:val="00C30D74"/>
    <w:rsid w:val="00C40D02"/>
    <w:rsid w:val="00C421EA"/>
    <w:rsid w:val="00C47C34"/>
    <w:rsid w:val="00C5036C"/>
    <w:rsid w:val="00C51F4A"/>
    <w:rsid w:val="00C55705"/>
    <w:rsid w:val="00C56EBC"/>
    <w:rsid w:val="00C631EB"/>
    <w:rsid w:val="00C8087B"/>
    <w:rsid w:val="00C81CBF"/>
    <w:rsid w:val="00C8264A"/>
    <w:rsid w:val="00C835E7"/>
    <w:rsid w:val="00CA1EF1"/>
    <w:rsid w:val="00CA328F"/>
    <w:rsid w:val="00CA4E70"/>
    <w:rsid w:val="00CC1CCC"/>
    <w:rsid w:val="00CD4B33"/>
    <w:rsid w:val="00CE081E"/>
    <w:rsid w:val="00CE6A93"/>
    <w:rsid w:val="00D02460"/>
    <w:rsid w:val="00D11A07"/>
    <w:rsid w:val="00D2497C"/>
    <w:rsid w:val="00D25E00"/>
    <w:rsid w:val="00D32585"/>
    <w:rsid w:val="00D60637"/>
    <w:rsid w:val="00D64DF4"/>
    <w:rsid w:val="00D64EA0"/>
    <w:rsid w:val="00D7277D"/>
    <w:rsid w:val="00D77327"/>
    <w:rsid w:val="00D83B6C"/>
    <w:rsid w:val="00D84FA8"/>
    <w:rsid w:val="00D9039A"/>
    <w:rsid w:val="00D938B2"/>
    <w:rsid w:val="00D96C90"/>
    <w:rsid w:val="00DA7515"/>
    <w:rsid w:val="00DB01F4"/>
    <w:rsid w:val="00DC0538"/>
    <w:rsid w:val="00DC3116"/>
    <w:rsid w:val="00DD4B4E"/>
    <w:rsid w:val="00DE7148"/>
    <w:rsid w:val="00DE7A62"/>
    <w:rsid w:val="00E34CBE"/>
    <w:rsid w:val="00EA11FD"/>
    <w:rsid w:val="00EA49BF"/>
    <w:rsid w:val="00EA686A"/>
    <w:rsid w:val="00EB0908"/>
    <w:rsid w:val="00EB5F4C"/>
    <w:rsid w:val="00EC44FE"/>
    <w:rsid w:val="00EC49EF"/>
    <w:rsid w:val="00ED56AE"/>
    <w:rsid w:val="00EE095C"/>
    <w:rsid w:val="00EE13AC"/>
    <w:rsid w:val="00EE605D"/>
    <w:rsid w:val="00EF1837"/>
    <w:rsid w:val="00EF7A06"/>
    <w:rsid w:val="00EF7DB1"/>
    <w:rsid w:val="00F13BF8"/>
    <w:rsid w:val="00F22ACA"/>
    <w:rsid w:val="00F23ED9"/>
    <w:rsid w:val="00F25602"/>
    <w:rsid w:val="00F3134F"/>
    <w:rsid w:val="00F40FD6"/>
    <w:rsid w:val="00F63DDC"/>
    <w:rsid w:val="00F8452B"/>
    <w:rsid w:val="00FA54D2"/>
    <w:rsid w:val="00FA567D"/>
    <w:rsid w:val="00FA6648"/>
    <w:rsid w:val="00FB068F"/>
    <w:rsid w:val="00FC3354"/>
    <w:rsid w:val="00FC45AC"/>
    <w:rsid w:val="00FC7C71"/>
    <w:rsid w:val="015D6B2A"/>
    <w:rsid w:val="0267688D"/>
    <w:rsid w:val="02870911"/>
    <w:rsid w:val="03155B98"/>
    <w:rsid w:val="037A01B8"/>
    <w:rsid w:val="04B279D4"/>
    <w:rsid w:val="04DF17C6"/>
    <w:rsid w:val="0550199D"/>
    <w:rsid w:val="056C0963"/>
    <w:rsid w:val="05BD4723"/>
    <w:rsid w:val="07646DE7"/>
    <w:rsid w:val="080E30EF"/>
    <w:rsid w:val="09F04623"/>
    <w:rsid w:val="0ABC43F9"/>
    <w:rsid w:val="0ADF7419"/>
    <w:rsid w:val="0AEF1CE4"/>
    <w:rsid w:val="0B491872"/>
    <w:rsid w:val="0D903025"/>
    <w:rsid w:val="0EA165E3"/>
    <w:rsid w:val="0EF04EC5"/>
    <w:rsid w:val="10080393"/>
    <w:rsid w:val="103D1135"/>
    <w:rsid w:val="12202D6C"/>
    <w:rsid w:val="12412140"/>
    <w:rsid w:val="124327EE"/>
    <w:rsid w:val="12FD4E8E"/>
    <w:rsid w:val="13952316"/>
    <w:rsid w:val="1469418D"/>
    <w:rsid w:val="14D95941"/>
    <w:rsid w:val="15826171"/>
    <w:rsid w:val="178D1F65"/>
    <w:rsid w:val="1A3C42E1"/>
    <w:rsid w:val="1B354396"/>
    <w:rsid w:val="1B3D683B"/>
    <w:rsid w:val="1B625380"/>
    <w:rsid w:val="1C57189A"/>
    <w:rsid w:val="1D285695"/>
    <w:rsid w:val="1D2D74A9"/>
    <w:rsid w:val="1E5B1196"/>
    <w:rsid w:val="1F162B03"/>
    <w:rsid w:val="1FFB048E"/>
    <w:rsid w:val="21125231"/>
    <w:rsid w:val="214C265F"/>
    <w:rsid w:val="21A47D8E"/>
    <w:rsid w:val="21C8576E"/>
    <w:rsid w:val="21CB0B0B"/>
    <w:rsid w:val="22D84689"/>
    <w:rsid w:val="22E23BA3"/>
    <w:rsid w:val="232A42A8"/>
    <w:rsid w:val="237B0B06"/>
    <w:rsid w:val="23CA1FC4"/>
    <w:rsid w:val="25547F56"/>
    <w:rsid w:val="26F51708"/>
    <w:rsid w:val="27714360"/>
    <w:rsid w:val="2A9A7CB3"/>
    <w:rsid w:val="2BAA6B11"/>
    <w:rsid w:val="2D113951"/>
    <w:rsid w:val="2E281AEC"/>
    <w:rsid w:val="2F0A4535"/>
    <w:rsid w:val="2F2551EC"/>
    <w:rsid w:val="2F3822B1"/>
    <w:rsid w:val="2F610930"/>
    <w:rsid w:val="2F9E1C45"/>
    <w:rsid w:val="2FAC25A0"/>
    <w:rsid w:val="2FC50F33"/>
    <w:rsid w:val="2FF20302"/>
    <w:rsid w:val="2FF7475A"/>
    <w:rsid w:val="302745E4"/>
    <w:rsid w:val="30FC7E10"/>
    <w:rsid w:val="31F51B43"/>
    <w:rsid w:val="32CC548D"/>
    <w:rsid w:val="32E97D8A"/>
    <w:rsid w:val="330F0462"/>
    <w:rsid w:val="33127246"/>
    <w:rsid w:val="332D3382"/>
    <w:rsid w:val="33F8024A"/>
    <w:rsid w:val="35247266"/>
    <w:rsid w:val="365D2844"/>
    <w:rsid w:val="38197B9E"/>
    <w:rsid w:val="38B42E51"/>
    <w:rsid w:val="39082401"/>
    <w:rsid w:val="39CD7C90"/>
    <w:rsid w:val="39CF53D1"/>
    <w:rsid w:val="3A9F22C2"/>
    <w:rsid w:val="3AAF0167"/>
    <w:rsid w:val="3AE34A17"/>
    <w:rsid w:val="3BAE1B1B"/>
    <w:rsid w:val="3CBE2CE1"/>
    <w:rsid w:val="3D9F63B3"/>
    <w:rsid w:val="3E4B5DA1"/>
    <w:rsid w:val="3E7B7458"/>
    <w:rsid w:val="3EB428C3"/>
    <w:rsid w:val="3EF65C0B"/>
    <w:rsid w:val="3F272BF3"/>
    <w:rsid w:val="3F5FC4BB"/>
    <w:rsid w:val="3F735962"/>
    <w:rsid w:val="3FE95C21"/>
    <w:rsid w:val="40026FFD"/>
    <w:rsid w:val="41000C7A"/>
    <w:rsid w:val="41E1394C"/>
    <w:rsid w:val="420425F2"/>
    <w:rsid w:val="421524D4"/>
    <w:rsid w:val="422C35B8"/>
    <w:rsid w:val="427B0CF1"/>
    <w:rsid w:val="431F553A"/>
    <w:rsid w:val="43CC61A6"/>
    <w:rsid w:val="4409111F"/>
    <w:rsid w:val="473D413F"/>
    <w:rsid w:val="475844C0"/>
    <w:rsid w:val="47A23DCF"/>
    <w:rsid w:val="47D223C0"/>
    <w:rsid w:val="48C844AD"/>
    <w:rsid w:val="48CC0F4C"/>
    <w:rsid w:val="492D5DC1"/>
    <w:rsid w:val="4A061863"/>
    <w:rsid w:val="4AE85167"/>
    <w:rsid w:val="4B4810C0"/>
    <w:rsid w:val="4BBA3DCF"/>
    <w:rsid w:val="4BD45F6D"/>
    <w:rsid w:val="4C8E53B2"/>
    <w:rsid w:val="4D611793"/>
    <w:rsid w:val="4E060B7F"/>
    <w:rsid w:val="4ED202BE"/>
    <w:rsid w:val="4F6B0D1B"/>
    <w:rsid w:val="4FAA647E"/>
    <w:rsid w:val="4FE03DC4"/>
    <w:rsid w:val="51046304"/>
    <w:rsid w:val="51DE085F"/>
    <w:rsid w:val="521F6CFF"/>
    <w:rsid w:val="529C5C4F"/>
    <w:rsid w:val="54C62619"/>
    <w:rsid w:val="56687704"/>
    <w:rsid w:val="5712282D"/>
    <w:rsid w:val="59D800F7"/>
    <w:rsid w:val="59F21B57"/>
    <w:rsid w:val="59FFA87E"/>
    <w:rsid w:val="5A745763"/>
    <w:rsid w:val="5AD9207B"/>
    <w:rsid w:val="5B8D6070"/>
    <w:rsid w:val="5BF23357"/>
    <w:rsid w:val="5CEB1CAA"/>
    <w:rsid w:val="5D640436"/>
    <w:rsid w:val="5D782258"/>
    <w:rsid w:val="5E143576"/>
    <w:rsid w:val="5F3C14CE"/>
    <w:rsid w:val="5F9B20D6"/>
    <w:rsid w:val="5FBB6B27"/>
    <w:rsid w:val="5FC41423"/>
    <w:rsid w:val="5FF71689"/>
    <w:rsid w:val="613B6954"/>
    <w:rsid w:val="61D6427A"/>
    <w:rsid w:val="61F3446A"/>
    <w:rsid w:val="627827B6"/>
    <w:rsid w:val="628B6808"/>
    <w:rsid w:val="63E07A4B"/>
    <w:rsid w:val="66500518"/>
    <w:rsid w:val="66612F82"/>
    <w:rsid w:val="668805B0"/>
    <w:rsid w:val="66F414C0"/>
    <w:rsid w:val="677F7C97"/>
    <w:rsid w:val="686178C3"/>
    <w:rsid w:val="69575426"/>
    <w:rsid w:val="699E327A"/>
    <w:rsid w:val="69D321B0"/>
    <w:rsid w:val="69E7297B"/>
    <w:rsid w:val="6A2302A6"/>
    <w:rsid w:val="6B492EB8"/>
    <w:rsid w:val="6B5D2645"/>
    <w:rsid w:val="6C147D85"/>
    <w:rsid w:val="6DC203D1"/>
    <w:rsid w:val="6EB446F7"/>
    <w:rsid w:val="6EF94790"/>
    <w:rsid w:val="6F2621DB"/>
    <w:rsid w:val="70F765A9"/>
    <w:rsid w:val="710C31C0"/>
    <w:rsid w:val="729448F9"/>
    <w:rsid w:val="72E83AAB"/>
    <w:rsid w:val="73A47383"/>
    <w:rsid w:val="74370D0F"/>
    <w:rsid w:val="74606462"/>
    <w:rsid w:val="74AD7722"/>
    <w:rsid w:val="75060144"/>
    <w:rsid w:val="77771CF3"/>
    <w:rsid w:val="78780E3A"/>
    <w:rsid w:val="798D6117"/>
    <w:rsid w:val="79A71A1B"/>
    <w:rsid w:val="7A9B7953"/>
    <w:rsid w:val="7AE13552"/>
    <w:rsid w:val="7B574551"/>
    <w:rsid w:val="7E7F12A1"/>
    <w:rsid w:val="7F3C317E"/>
    <w:rsid w:val="7FAB6AA8"/>
    <w:rsid w:val="7FAF32BE"/>
    <w:rsid w:val="7FFA1303"/>
    <w:rsid w:val="DE5F0595"/>
    <w:rsid w:val="DFBD2B18"/>
    <w:rsid w:val="EB6EF81A"/>
    <w:rsid w:val="EBDECACB"/>
    <w:rsid w:val="F5FF58F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line="576" w:lineRule="auto"/>
      <w:outlineLvl w:val="0"/>
    </w:pPr>
    <w:rPr>
      <w:b/>
      <w:kern w:val="44"/>
      <w:sz w:val="44"/>
    </w:rPr>
  </w:style>
  <w:style w:type="paragraph" w:styleId="3">
    <w:name w:val="heading 2"/>
    <w:basedOn w:val="1"/>
    <w:next w:val="1"/>
    <w:link w:val="22"/>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3"/>
    <w:unhideWhenUsed/>
    <w:qFormat/>
    <w:uiPriority w:val="0"/>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Document Map"/>
    <w:basedOn w:val="1"/>
    <w:link w:val="20"/>
    <w:qFormat/>
    <w:uiPriority w:val="0"/>
    <w:rPr>
      <w:rFonts w:ascii="宋体" w:eastAsia="宋体"/>
      <w:sz w:val="18"/>
      <w:szCs w:val="18"/>
    </w:rPr>
  </w:style>
  <w:style w:type="paragraph" w:styleId="6">
    <w:name w:val="Date"/>
    <w:basedOn w:val="1"/>
    <w:next w:val="1"/>
    <w:link w:val="19"/>
    <w:qFormat/>
    <w:uiPriority w:val="0"/>
    <w:pPr>
      <w:ind w:left="100" w:leftChars="2500"/>
    </w:pPr>
  </w:style>
  <w:style w:type="paragraph" w:styleId="7">
    <w:name w:val="Balloon Text"/>
    <w:basedOn w:val="1"/>
    <w:link w:val="21"/>
    <w:qFormat/>
    <w:uiPriority w:val="0"/>
    <w:rPr>
      <w:sz w:val="18"/>
      <w:szCs w:val="18"/>
    </w:rPr>
  </w:style>
  <w:style w:type="paragraph" w:styleId="8">
    <w:name w:val="footer"/>
    <w:basedOn w:val="1"/>
    <w:link w:val="18"/>
    <w:qFormat/>
    <w:uiPriority w:val="99"/>
    <w:pPr>
      <w:tabs>
        <w:tab w:val="center" w:pos="4153"/>
        <w:tab w:val="right" w:pos="8306"/>
      </w:tabs>
      <w:snapToGrid w:val="0"/>
      <w:jc w:val="left"/>
    </w:pPr>
    <w:rPr>
      <w:sz w:val="18"/>
      <w:szCs w:val="18"/>
    </w:rPr>
  </w:style>
  <w:style w:type="paragraph" w:styleId="9">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pPr>
      <w:snapToGrid w:val="0"/>
      <w:spacing w:line="640" w:lineRule="exact"/>
      <w:ind w:firstLine="705"/>
    </w:pPr>
    <w:rPr>
      <w:rFonts w:ascii="仿宋_GB2312" w:hAnsi="Calibri" w:eastAsia="仿宋_GB2312" w:cs="Times New Roman"/>
      <w:color w:val="000000"/>
      <w:sz w:val="36"/>
      <w:szCs w:val="36"/>
    </w:rPr>
  </w:style>
  <w:style w:type="paragraph" w:styleId="11">
    <w:name w:val="toc 2"/>
    <w:basedOn w:val="1"/>
    <w:next w:val="1"/>
    <w:qFormat/>
    <w:uiPriority w:val="39"/>
    <w:pPr>
      <w:ind w:left="420" w:leftChars="200"/>
    </w:pPr>
    <w:rPr>
      <w:rFonts w:ascii="Times New Roman" w:hAnsi="Times New Roman" w:eastAsia="仿宋_GB2312" w:cs="Times New Roman"/>
      <w:sz w:val="30"/>
    </w:rPr>
  </w:style>
  <w:style w:type="table" w:styleId="13">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Hyperlink"/>
    <w:qFormat/>
    <w:uiPriority w:val="99"/>
    <w:rPr>
      <w:color w:val="333333"/>
      <w:u w:val="none"/>
    </w:rPr>
  </w:style>
  <w:style w:type="paragraph" w:customStyle="1" w:styleId="16">
    <w:name w:val="列出段落1"/>
    <w:basedOn w:val="1"/>
    <w:unhideWhenUsed/>
    <w:qFormat/>
    <w:uiPriority w:val="34"/>
    <w:pPr>
      <w:ind w:firstLine="420" w:firstLineChars="200"/>
    </w:pPr>
  </w:style>
  <w:style w:type="character" w:customStyle="1" w:styleId="17">
    <w:name w:val="页眉 Char"/>
    <w:basedOn w:val="14"/>
    <w:link w:val="9"/>
    <w:qFormat/>
    <w:uiPriority w:val="0"/>
    <w:rPr>
      <w:rFonts w:asciiTheme="minorHAnsi" w:hAnsiTheme="minorHAnsi" w:eastAsiaTheme="minorEastAsia" w:cstheme="minorBidi"/>
      <w:kern w:val="2"/>
      <w:sz w:val="18"/>
      <w:szCs w:val="18"/>
    </w:rPr>
  </w:style>
  <w:style w:type="character" w:customStyle="1" w:styleId="18">
    <w:name w:val="页脚 Char"/>
    <w:basedOn w:val="14"/>
    <w:link w:val="8"/>
    <w:qFormat/>
    <w:uiPriority w:val="99"/>
    <w:rPr>
      <w:rFonts w:asciiTheme="minorHAnsi" w:hAnsiTheme="minorHAnsi" w:eastAsiaTheme="minorEastAsia" w:cstheme="minorBidi"/>
      <w:kern w:val="2"/>
      <w:sz w:val="18"/>
      <w:szCs w:val="18"/>
    </w:rPr>
  </w:style>
  <w:style w:type="character" w:customStyle="1" w:styleId="19">
    <w:name w:val="日期 Char"/>
    <w:basedOn w:val="14"/>
    <w:link w:val="6"/>
    <w:qFormat/>
    <w:uiPriority w:val="0"/>
    <w:rPr>
      <w:rFonts w:asciiTheme="minorHAnsi" w:hAnsiTheme="minorHAnsi" w:eastAsiaTheme="minorEastAsia" w:cstheme="minorBidi"/>
      <w:kern w:val="2"/>
      <w:sz w:val="21"/>
      <w:szCs w:val="24"/>
    </w:rPr>
  </w:style>
  <w:style w:type="character" w:customStyle="1" w:styleId="20">
    <w:name w:val="文档结构图 Char"/>
    <w:basedOn w:val="14"/>
    <w:link w:val="5"/>
    <w:qFormat/>
    <w:uiPriority w:val="0"/>
    <w:rPr>
      <w:rFonts w:ascii="宋体" w:hAnsiTheme="minorHAnsi" w:cstheme="minorBidi"/>
      <w:kern w:val="2"/>
      <w:sz w:val="18"/>
      <w:szCs w:val="18"/>
    </w:rPr>
  </w:style>
  <w:style w:type="character" w:customStyle="1" w:styleId="21">
    <w:name w:val="批注框文本 Char"/>
    <w:basedOn w:val="14"/>
    <w:link w:val="7"/>
    <w:qFormat/>
    <w:uiPriority w:val="0"/>
    <w:rPr>
      <w:rFonts w:asciiTheme="minorHAnsi" w:hAnsiTheme="minorHAnsi" w:eastAsiaTheme="minorEastAsia" w:cstheme="minorBidi"/>
      <w:kern w:val="2"/>
      <w:sz w:val="18"/>
      <w:szCs w:val="18"/>
    </w:rPr>
  </w:style>
  <w:style w:type="character" w:customStyle="1" w:styleId="22">
    <w:name w:val="标题 2 Char"/>
    <w:basedOn w:val="14"/>
    <w:link w:val="3"/>
    <w:semiHidden/>
    <w:qFormat/>
    <w:uiPriority w:val="0"/>
    <w:rPr>
      <w:rFonts w:asciiTheme="majorHAnsi" w:hAnsiTheme="majorHAnsi" w:eastAsiaTheme="majorEastAsia" w:cstheme="majorBidi"/>
      <w:b/>
      <w:bCs/>
      <w:kern w:val="2"/>
      <w:sz w:val="32"/>
      <w:szCs w:val="32"/>
    </w:rPr>
  </w:style>
  <w:style w:type="character" w:customStyle="1" w:styleId="23">
    <w:name w:val="标题 3 Char"/>
    <w:basedOn w:val="14"/>
    <w:link w:val="4"/>
    <w:semiHidden/>
    <w:qFormat/>
    <w:uiPriority w:val="0"/>
    <w:rPr>
      <w:rFonts w:asciiTheme="minorHAnsi" w:hAnsiTheme="minorHAnsi" w:eastAsiaTheme="minorEastAsia" w:cstheme="minorBidi"/>
      <w:b/>
      <w:bCs/>
      <w:kern w:val="2"/>
      <w:sz w:val="32"/>
      <w:szCs w:val="32"/>
    </w:rPr>
  </w:style>
  <w:style w:type="paragraph" w:customStyle="1" w:styleId="24">
    <w:name w:val="修订1"/>
    <w:hidden/>
    <w:unhideWhenUsed/>
    <w:qFormat/>
    <w:uiPriority w:val="99"/>
    <w:rPr>
      <w:rFonts w:asciiTheme="minorHAnsi" w:hAnsiTheme="minorHAnsi" w:eastAsiaTheme="minorEastAsia" w:cstheme="minorBidi"/>
      <w:kern w:val="2"/>
      <w:sz w:val="21"/>
      <w:szCs w:val="24"/>
      <w:lang w:val="en-US" w:eastAsia="zh-CN" w:bidi="ar-SA"/>
    </w:rPr>
  </w:style>
  <w:style w:type="paragraph" w:styleId="2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6146"/>
    <customShpInfo spid="_x0000_s614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966</Words>
  <Characters>717</Characters>
  <Lines>5</Lines>
  <Paragraphs>3</Paragraphs>
  <TotalTime>15</TotalTime>
  <ScaleCrop>false</ScaleCrop>
  <LinksUpToDate>false</LinksUpToDate>
  <CharactersWithSpaces>1680</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2023-06-17T11:24:00Z</dcterms:created>
  <dc:creator>user</dc:creator>
  <cp:lastModifiedBy>lenovo</cp:lastModifiedBy>
  <cp:lastPrinted>2021-10-09T10:21:00Z</cp:lastPrinted>
  <dcterms:modified xsi:type="dcterms:W3CDTF">2026-07-06T10:48:01Z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3F207902D39F4CB2A175CE6BB3F6781A</vt:lpwstr>
  </property>
</Properties>
</file>