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18A" w:rsidRDefault="00BA218A">
      <w:pPr>
        <w:spacing w:line="560" w:lineRule="exact"/>
        <w:ind w:left="880" w:hanging="880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:rsidR="00BA218A" w:rsidRDefault="00BA218A">
      <w:pPr>
        <w:spacing w:line="560" w:lineRule="exact"/>
        <w:ind w:left="880" w:hanging="880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:rsidR="00BA218A" w:rsidRDefault="00833460">
      <w:pPr>
        <w:spacing w:line="560" w:lineRule="exact"/>
        <w:ind w:left="880" w:hanging="880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2025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年度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为民办事工作经费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绩效</w:t>
      </w:r>
    </w:p>
    <w:p w:rsidR="00BA218A" w:rsidRDefault="00833460">
      <w:pPr>
        <w:spacing w:line="560" w:lineRule="exact"/>
        <w:ind w:left="880" w:hanging="880"/>
        <w:jc w:val="center"/>
        <w:rPr>
          <w:rFonts w:ascii="方正小标宋_GBK" w:eastAsia="方正小标宋_GBK" w:cs="文星简黑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自评抽查复核报告</w:t>
      </w:r>
    </w:p>
    <w:p w:rsidR="00BA218A" w:rsidRDefault="00BA218A">
      <w:pPr>
        <w:spacing w:line="560" w:lineRule="exact"/>
        <w:ind w:left="1040" w:hanging="1040"/>
        <w:jc w:val="right"/>
        <w:rPr>
          <w:rFonts w:ascii="文星简黑体" w:eastAsia="文星简黑体"/>
          <w:sz w:val="52"/>
          <w:szCs w:val="52"/>
        </w:rPr>
      </w:pPr>
    </w:p>
    <w:p w:rsidR="00BA218A" w:rsidRDefault="00BA218A">
      <w:pPr>
        <w:spacing w:line="560" w:lineRule="exact"/>
        <w:ind w:left="1040" w:hanging="1040"/>
        <w:jc w:val="center"/>
        <w:rPr>
          <w:rFonts w:ascii="文星简黑体" w:eastAsia="文星简黑体"/>
          <w:sz w:val="52"/>
          <w:szCs w:val="52"/>
        </w:rPr>
      </w:pPr>
    </w:p>
    <w:p w:rsidR="00BA218A" w:rsidRDefault="00BA218A">
      <w:pPr>
        <w:pStyle w:val="11"/>
        <w:spacing w:line="560" w:lineRule="exact"/>
      </w:pPr>
    </w:p>
    <w:p w:rsidR="00BA218A" w:rsidRDefault="00BA218A">
      <w:pPr>
        <w:pStyle w:val="11"/>
        <w:spacing w:line="560" w:lineRule="exact"/>
      </w:pPr>
    </w:p>
    <w:p w:rsidR="00BA218A" w:rsidRDefault="00BA218A">
      <w:pPr>
        <w:pStyle w:val="11"/>
        <w:spacing w:line="560" w:lineRule="exact"/>
      </w:pPr>
    </w:p>
    <w:p w:rsidR="00BA218A" w:rsidRDefault="00BA218A">
      <w:pPr>
        <w:pStyle w:val="11"/>
        <w:spacing w:line="560" w:lineRule="exact"/>
      </w:pPr>
    </w:p>
    <w:p w:rsidR="00BA218A" w:rsidRDefault="00BA218A">
      <w:pPr>
        <w:pStyle w:val="11"/>
        <w:spacing w:line="560" w:lineRule="exact"/>
      </w:pPr>
    </w:p>
    <w:p w:rsidR="00BA218A" w:rsidRDefault="00BA218A">
      <w:pPr>
        <w:pStyle w:val="11"/>
        <w:spacing w:line="560" w:lineRule="exact"/>
      </w:pPr>
    </w:p>
    <w:p w:rsidR="00BA218A" w:rsidRDefault="00BA218A">
      <w:pPr>
        <w:pStyle w:val="11"/>
        <w:spacing w:line="560" w:lineRule="exact"/>
        <w:ind w:firstLine="1040"/>
        <w:rPr>
          <w:rFonts w:ascii="文星简黑体" w:eastAsia="文星简黑体"/>
          <w:sz w:val="52"/>
          <w:szCs w:val="52"/>
        </w:rPr>
      </w:pPr>
    </w:p>
    <w:p w:rsidR="00BA218A" w:rsidRDefault="00BA218A">
      <w:pPr>
        <w:pStyle w:val="11"/>
        <w:spacing w:line="560" w:lineRule="exact"/>
        <w:ind w:firstLine="1040"/>
        <w:rPr>
          <w:rFonts w:ascii="文星简黑体" w:eastAsia="文星简黑体"/>
          <w:sz w:val="52"/>
          <w:szCs w:val="52"/>
        </w:rPr>
      </w:pPr>
    </w:p>
    <w:p w:rsidR="00BA218A" w:rsidRDefault="00BA218A">
      <w:pPr>
        <w:pStyle w:val="11"/>
        <w:spacing w:line="560" w:lineRule="exact"/>
        <w:ind w:firstLineChars="0" w:firstLine="0"/>
        <w:rPr>
          <w:rFonts w:ascii="文星简黑体" w:eastAsia="文星简黑体"/>
          <w:sz w:val="52"/>
          <w:szCs w:val="52"/>
        </w:rPr>
      </w:pPr>
    </w:p>
    <w:p w:rsidR="00BA218A" w:rsidRDefault="00BA218A">
      <w:pPr>
        <w:spacing w:line="560" w:lineRule="exact"/>
        <w:ind w:left="1040" w:hanging="1040"/>
        <w:jc w:val="center"/>
        <w:rPr>
          <w:rFonts w:ascii="文星简黑体" w:eastAsia="文星简黑体"/>
          <w:sz w:val="52"/>
          <w:szCs w:val="52"/>
        </w:rPr>
      </w:pPr>
    </w:p>
    <w:p w:rsidR="00BA218A" w:rsidRDefault="00833460">
      <w:pPr>
        <w:spacing w:before="120" w:after="120" w:line="560" w:lineRule="exact"/>
        <w:ind w:left="2240" w:hangingChars="700" w:hanging="22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文星简黑体" w:hint="eastAsia"/>
          <w:sz w:val="32"/>
          <w:szCs w:val="32"/>
        </w:rPr>
        <w:t>被评价单位：</w:t>
      </w:r>
      <w:r>
        <w:rPr>
          <w:rFonts w:ascii="黑体" w:eastAsia="黑体" w:hAnsi="黑体" w:cs="文星简黑体" w:hint="eastAsia"/>
          <w:sz w:val="32"/>
          <w:szCs w:val="32"/>
        </w:rPr>
        <w:t>青岛西海岸新区市民诉求解决推进中心</w:t>
      </w:r>
    </w:p>
    <w:p w:rsidR="00BA218A" w:rsidRDefault="00833460">
      <w:pPr>
        <w:spacing w:before="120" w:after="120" w:line="560" w:lineRule="exact"/>
        <w:ind w:left="640" w:hanging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文星简黑体" w:hint="eastAsia"/>
          <w:spacing w:val="53"/>
          <w:kern w:val="0"/>
          <w:sz w:val="32"/>
          <w:szCs w:val="32"/>
        </w:rPr>
        <w:t>评价机</w:t>
      </w:r>
      <w:r>
        <w:rPr>
          <w:rFonts w:ascii="黑体" w:eastAsia="黑体" w:hAnsi="黑体" w:cs="文星简黑体" w:hint="eastAsia"/>
          <w:spacing w:val="1"/>
          <w:kern w:val="0"/>
          <w:sz w:val="32"/>
          <w:szCs w:val="32"/>
        </w:rPr>
        <w:t>构</w:t>
      </w:r>
      <w:r>
        <w:rPr>
          <w:rFonts w:ascii="黑体" w:eastAsia="黑体" w:hAnsi="黑体" w:cs="文星简黑体" w:hint="eastAsia"/>
          <w:sz w:val="32"/>
          <w:szCs w:val="32"/>
        </w:rPr>
        <w:t>：</w:t>
      </w:r>
      <w:r>
        <w:rPr>
          <w:rFonts w:ascii="黑体" w:eastAsia="黑体" w:hAnsi="黑体" w:cs="文星简黑体" w:hint="eastAsia"/>
          <w:sz w:val="32"/>
          <w:szCs w:val="32"/>
        </w:rPr>
        <w:t>青岛西海岸新区财政局</w:t>
      </w:r>
    </w:p>
    <w:p w:rsidR="00BA218A" w:rsidRDefault="00BA218A">
      <w:pPr>
        <w:spacing w:before="120" w:after="120" w:line="560" w:lineRule="exact"/>
        <w:ind w:left="640" w:hanging="640"/>
        <w:jc w:val="left"/>
        <w:rPr>
          <w:rFonts w:ascii="黑体" w:eastAsia="黑体" w:hAnsi="黑体"/>
          <w:sz w:val="32"/>
          <w:szCs w:val="32"/>
        </w:rPr>
      </w:pPr>
    </w:p>
    <w:p w:rsidR="00BA218A" w:rsidRDefault="00BA218A">
      <w:pPr>
        <w:spacing w:before="120" w:after="120" w:line="560" w:lineRule="exact"/>
        <w:jc w:val="center"/>
        <w:rPr>
          <w:rFonts w:ascii="黑体" w:eastAsia="黑体" w:hAnsi="黑体" w:cs="文星简黑体"/>
          <w:sz w:val="32"/>
          <w:szCs w:val="32"/>
        </w:rPr>
      </w:pPr>
    </w:p>
    <w:p w:rsidR="00BA218A" w:rsidRDefault="00833460">
      <w:pPr>
        <w:spacing w:before="120" w:after="120" w:line="560" w:lineRule="exact"/>
        <w:jc w:val="center"/>
        <w:rPr>
          <w:rFonts w:ascii="黑体" w:eastAsia="黑体" w:hAnsi="黑体" w:cs="文星简黑体"/>
          <w:sz w:val="32"/>
          <w:szCs w:val="32"/>
        </w:rPr>
      </w:pPr>
      <w:r>
        <w:rPr>
          <w:rFonts w:ascii="黑体" w:eastAsia="黑体" w:hAnsi="黑体" w:cs="文星简黑体" w:hint="eastAsia"/>
          <w:sz w:val="32"/>
          <w:szCs w:val="32"/>
        </w:rPr>
        <w:t>202</w:t>
      </w:r>
      <w:r>
        <w:rPr>
          <w:rFonts w:ascii="黑体" w:eastAsia="黑体" w:hAnsi="黑体" w:cs="文星简黑体" w:hint="eastAsia"/>
          <w:sz w:val="32"/>
          <w:szCs w:val="32"/>
        </w:rPr>
        <w:t>6</w:t>
      </w:r>
      <w:r>
        <w:rPr>
          <w:rFonts w:ascii="黑体" w:eastAsia="黑体" w:hAnsi="黑体" w:cs="文星简黑体" w:hint="eastAsia"/>
          <w:sz w:val="32"/>
          <w:szCs w:val="32"/>
        </w:rPr>
        <w:t>年</w:t>
      </w:r>
      <w:r>
        <w:rPr>
          <w:rFonts w:ascii="黑体" w:eastAsia="黑体" w:hAnsi="黑体" w:cs="文星简黑体" w:hint="eastAsia"/>
          <w:sz w:val="32"/>
          <w:szCs w:val="32"/>
        </w:rPr>
        <w:t xml:space="preserve"> </w:t>
      </w:r>
      <w:r>
        <w:rPr>
          <w:rFonts w:ascii="黑体" w:eastAsia="黑体" w:hAnsi="黑体" w:cs="文星简黑体" w:hint="eastAsia"/>
          <w:sz w:val="32"/>
          <w:szCs w:val="32"/>
        </w:rPr>
        <w:t>6</w:t>
      </w:r>
      <w:r>
        <w:rPr>
          <w:rFonts w:ascii="黑体" w:eastAsia="黑体" w:hAnsi="黑体" w:cs="文星简黑体" w:hint="eastAsia"/>
          <w:sz w:val="32"/>
          <w:szCs w:val="32"/>
        </w:rPr>
        <w:t>月</w:t>
      </w:r>
    </w:p>
    <w:p w:rsidR="00BA218A" w:rsidRDefault="00BA218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</w:p>
    <w:p w:rsidR="00BA218A" w:rsidRDefault="00BA218A">
      <w:pPr>
        <w:adjustRightInd w:val="0"/>
        <w:snapToGrid w:val="0"/>
        <w:spacing w:line="560" w:lineRule="exact"/>
        <w:ind w:left="880" w:hanging="880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:rsidR="00BA218A" w:rsidRDefault="00833460">
      <w:pPr>
        <w:adjustRightInd w:val="0"/>
        <w:snapToGrid w:val="0"/>
        <w:spacing w:line="560" w:lineRule="exact"/>
        <w:ind w:left="880" w:hanging="880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录</w:t>
      </w:r>
    </w:p>
    <w:p w:rsidR="00BA218A" w:rsidRDefault="00BA218A">
      <w:pPr>
        <w:pStyle w:val="10"/>
        <w:tabs>
          <w:tab w:val="right" w:leader="dot" w:pos="8306"/>
        </w:tabs>
        <w:adjustRightInd w:val="0"/>
        <w:spacing w:line="560" w:lineRule="exact"/>
        <w:rPr>
          <w:sz w:val="32"/>
          <w:szCs w:val="32"/>
        </w:rPr>
      </w:pPr>
      <w:r w:rsidRPr="00BA218A">
        <w:rPr>
          <w:rFonts w:ascii="Times New Roman" w:eastAsia="宋体" w:hAnsi="Times New Roman"/>
          <w:sz w:val="32"/>
          <w:szCs w:val="32"/>
        </w:rPr>
        <w:fldChar w:fldCharType="begin"/>
      </w:r>
      <w:r w:rsidR="00833460">
        <w:rPr>
          <w:rFonts w:ascii="Times New Roman" w:eastAsia="宋体" w:hAnsi="Times New Roman"/>
          <w:sz w:val="32"/>
          <w:szCs w:val="32"/>
        </w:rPr>
        <w:instrText xml:space="preserve">TOC \o "1-3" \h \u </w:instrText>
      </w:r>
      <w:r w:rsidRPr="00BA218A">
        <w:rPr>
          <w:rFonts w:ascii="Times New Roman" w:eastAsia="宋体" w:hAnsi="Times New Roman"/>
          <w:sz w:val="32"/>
          <w:szCs w:val="32"/>
        </w:rPr>
        <w:fldChar w:fldCharType="separate"/>
      </w:r>
      <w:hyperlink w:anchor="_Toc20850" w:history="1">
        <w:r w:rsidR="00833460">
          <w:rPr>
            <w:rFonts w:ascii="黑体" w:eastAsia="黑体" w:hAnsi="黑体" w:cs="黑体" w:hint="eastAsia"/>
            <w:sz w:val="32"/>
            <w:szCs w:val="32"/>
          </w:rPr>
          <w:t>一、组织情况（抽查组织情况）</w:t>
        </w:r>
        <w:r w:rsidR="00833460">
          <w:rPr>
            <w:sz w:val="32"/>
            <w:szCs w:val="32"/>
          </w:rPr>
          <w:tab/>
        </w:r>
        <w:r>
          <w:rPr>
            <w:sz w:val="32"/>
            <w:szCs w:val="32"/>
          </w:rPr>
          <w:fldChar w:fldCharType="begin"/>
        </w:r>
        <w:r w:rsidR="00833460">
          <w:rPr>
            <w:sz w:val="32"/>
            <w:szCs w:val="32"/>
          </w:rPr>
          <w:instrText xml:space="preserve"> PAGEREF _Toc20850 \h </w:instrText>
        </w:r>
        <w:r>
          <w:rPr>
            <w:sz w:val="32"/>
            <w:szCs w:val="32"/>
          </w:rPr>
        </w:r>
        <w:r>
          <w:rPr>
            <w:sz w:val="32"/>
            <w:szCs w:val="32"/>
          </w:rPr>
          <w:fldChar w:fldCharType="separate"/>
        </w:r>
        <w:r w:rsidR="00833460">
          <w:rPr>
            <w:sz w:val="32"/>
            <w:szCs w:val="32"/>
          </w:rPr>
          <w:t>1</w:t>
        </w:r>
        <w:r>
          <w:rPr>
            <w:sz w:val="32"/>
            <w:szCs w:val="32"/>
          </w:rPr>
          <w:fldChar w:fldCharType="end"/>
        </w:r>
      </w:hyperlink>
    </w:p>
    <w:p w:rsidR="00BA218A" w:rsidRDefault="00BA218A">
      <w:pPr>
        <w:pStyle w:val="20"/>
        <w:tabs>
          <w:tab w:val="right" w:leader="dot" w:pos="8306"/>
        </w:tabs>
        <w:adjustRightInd w:val="0"/>
        <w:snapToGrid w:val="0"/>
        <w:spacing w:line="560" w:lineRule="exact"/>
        <w:ind w:firstLineChars="100" w:firstLine="300"/>
        <w:rPr>
          <w:sz w:val="32"/>
          <w:szCs w:val="32"/>
        </w:rPr>
      </w:pPr>
      <w:hyperlink w:anchor="_Toc23777" w:history="1">
        <w:r w:rsidR="00833460">
          <w:rPr>
            <w:rFonts w:ascii="Cambria" w:eastAsia="楷体" w:hAnsi="Cambria" w:hint="eastAsia"/>
            <w:kern w:val="0"/>
            <w:sz w:val="32"/>
            <w:szCs w:val="32"/>
          </w:rPr>
          <w:t>（一）抽查复核目的和对象</w:t>
        </w:r>
        <w:r w:rsidR="00833460">
          <w:rPr>
            <w:sz w:val="32"/>
            <w:szCs w:val="32"/>
          </w:rPr>
          <w:tab/>
        </w:r>
        <w:r>
          <w:rPr>
            <w:rFonts w:ascii="仿宋_GB2312" w:hAnsi="Calibri"/>
            <w:color w:val="000000"/>
            <w:sz w:val="32"/>
            <w:szCs w:val="32"/>
          </w:rPr>
          <w:fldChar w:fldCharType="begin"/>
        </w:r>
        <w:r w:rsidR="00833460">
          <w:rPr>
            <w:rFonts w:ascii="仿宋_GB2312" w:hAnsi="Calibri"/>
            <w:color w:val="000000"/>
            <w:sz w:val="32"/>
            <w:szCs w:val="32"/>
          </w:rPr>
          <w:instrText xml:space="preserve"> PAGEREF _Toc23777 \h </w:instrText>
        </w:r>
        <w:r>
          <w:rPr>
            <w:rFonts w:ascii="仿宋_GB2312" w:hAnsi="Calibri"/>
            <w:color w:val="000000"/>
            <w:sz w:val="32"/>
            <w:szCs w:val="32"/>
          </w:rPr>
        </w:r>
        <w:r>
          <w:rPr>
            <w:rFonts w:ascii="仿宋_GB2312" w:hAnsi="Calibri"/>
            <w:color w:val="000000"/>
            <w:sz w:val="32"/>
            <w:szCs w:val="32"/>
          </w:rPr>
          <w:fldChar w:fldCharType="separate"/>
        </w:r>
        <w:r w:rsidR="00833460">
          <w:rPr>
            <w:rFonts w:ascii="仿宋_GB2312" w:hAnsi="Calibri"/>
            <w:color w:val="000000"/>
            <w:sz w:val="32"/>
            <w:szCs w:val="32"/>
          </w:rPr>
          <w:t>1</w:t>
        </w:r>
        <w:r>
          <w:rPr>
            <w:rFonts w:ascii="仿宋_GB2312" w:hAnsi="Calibri"/>
            <w:color w:val="000000"/>
            <w:sz w:val="32"/>
            <w:szCs w:val="32"/>
          </w:rPr>
          <w:fldChar w:fldCharType="end"/>
        </w:r>
      </w:hyperlink>
    </w:p>
    <w:p w:rsidR="00BA218A" w:rsidRDefault="00BA218A">
      <w:pPr>
        <w:pStyle w:val="20"/>
        <w:tabs>
          <w:tab w:val="right" w:leader="dot" w:pos="8306"/>
        </w:tabs>
        <w:adjustRightInd w:val="0"/>
        <w:snapToGrid w:val="0"/>
        <w:spacing w:line="560" w:lineRule="exact"/>
        <w:ind w:firstLineChars="100" w:firstLine="300"/>
        <w:rPr>
          <w:sz w:val="32"/>
          <w:szCs w:val="32"/>
        </w:rPr>
      </w:pPr>
      <w:hyperlink w:anchor="_Toc3668" w:history="1">
        <w:r w:rsidR="00833460">
          <w:rPr>
            <w:rFonts w:ascii="Cambria" w:eastAsia="楷体" w:hAnsi="Cambria" w:hint="eastAsia"/>
            <w:kern w:val="0"/>
            <w:sz w:val="32"/>
            <w:szCs w:val="32"/>
          </w:rPr>
          <w:t>（二）</w:t>
        </w:r>
        <w:r w:rsidR="00833460">
          <w:rPr>
            <w:rFonts w:ascii="Cambria" w:eastAsia="楷体" w:hAnsi="Cambria" w:cstheme="majorBidi" w:hint="eastAsia"/>
            <w:kern w:val="0"/>
            <w:sz w:val="32"/>
            <w:szCs w:val="32"/>
          </w:rPr>
          <w:t>抽查复核</w:t>
        </w:r>
        <w:r w:rsidR="00833460">
          <w:rPr>
            <w:rFonts w:ascii="Cambria" w:eastAsia="楷体" w:hAnsi="Cambria" w:hint="eastAsia"/>
            <w:kern w:val="0"/>
            <w:sz w:val="32"/>
            <w:szCs w:val="32"/>
          </w:rPr>
          <w:t>依据、方法和标准</w:t>
        </w:r>
        <w:r w:rsidR="00833460">
          <w:rPr>
            <w:sz w:val="32"/>
            <w:szCs w:val="32"/>
          </w:rPr>
          <w:tab/>
        </w:r>
        <w:r>
          <w:rPr>
            <w:rFonts w:ascii="仿宋_GB2312" w:hAnsi="Calibri"/>
            <w:color w:val="000000"/>
            <w:sz w:val="32"/>
            <w:szCs w:val="32"/>
          </w:rPr>
          <w:fldChar w:fldCharType="begin"/>
        </w:r>
        <w:r w:rsidR="00833460">
          <w:rPr>
            <w:rFonts w:ascii="仿宋_GB2312" w:hAnsi="Calibri"/>
            <w:color w:val="000000"/>
            <w:sz w:val="32"/>
            <w:szCs w:val="32"/>
          </w:rPr>
          <w:instrText xml:space="preserve"> PAGEREF _Toc3668 \h </w:instrText>
        </w:r>
        <w:r>
          <w:rPr>
            <w:rFonts w:ascii="仿宋_GB2312" w:hAnsi="Calibri"/>
            <w:color w:val="000000"/>
            <w:sz w:val="32"/>
            <w:szCs w:val="32"/>
          </w:rPr>
        </w:r>
        <w:r>
          <w:rPr>
            <w:rFonts w:ascii="仿宋_GB2312" w:hAnsi="Calibri"/>
            <w:color w:val="000000"/>
            <w:sz w:val="32"/>
            <w:szCs w:val="32"/>
          </w:rPr>
          <w:fldChar w:fldCharType="separate"/>
        </w:r>
        <w:r w:rsidR="00833460">
          <w:rPr>
            <w:rFonts w:ascii="仿宋_GB2312" w:hAnsi="Calibri"/>
            <w:color w:val="000000"/>
            <w:sz w:val="32"/>
            <w:szCs w:val="32"/>
          </w:rPr>
          <w:t>1</w:t>
        </w:r>
        <w:r>
          <w:rPr>
            <w:rFonts w:ascii="仿宋_GB2312" w:hAnsi="Calibri"/>
            <w:color w:val="000000"/>
            <w:sz w:val="32"/>
            <w:szCs w:val="32"/>
          </w:rPr>
          <w:fldChar w:fldCharType="end"/>
        </w:r>
      </w:hyperlink>
    </w:p>
    <w:p w:rsidR="00BA218A" w:rsidRDefault="00BA218A">
      <w:pPr>
        <w:pStyle w:val="10"/>
        <w:tabs>
          <w:tab w:val="right" w:leader="dot" w:pos="8306"/>
        </w:tabs>
        <w:adjustRightInd w:val="0"/>
        <w:spacing w:line="560" w:lineRule="exact"/>
        <w:rPr>
          <w:sz w:val="32"/>
          <w:szCs w:val="32"/>
        </w:rPr>
      </w:pPr>
      <w:hyperlink w:anchor="_Toc17066" w:history="1">
        <w:r w:rsidR="00833460">
          <w:rPr>
            <w:rFonts w:ascii="黑体" w:eastAsia="黑体" w:hAnsi="黑体" w:cs="黑体" w:hint="eastAsia"/>
            <w:sz w:val="32"/>
            <w:szCs w:val="32"/>
          </w:rPr>
          <w:t>二、绩效自评开展情况</w:t>
        </w:r>
        <w:r w:rsidR="00833460">
          <w:rPr>
            <w:sz w:val="32"/>
            <w:szCs w:val="32"/>
          </w:rPr>
          <w:tab/>
        </w:r>
        <w:r>
          <w:rPr>
            <w:sz w:val="32"/>
            <w:szCs w:val="32"/>
          </w:rPr>
          <w:fldChar w:fldCharType="begin"/>
        </w:r>
        <w:r w:rsidR="00833460">
          <w:rPr>
            <w:sz w:val="32"/>
            <w:szCs w:val="32"/>
          </w:rPr>
          <w:instrText xml:space="preserve"> PAGEREF _Toc17066 \h </w:instrText>
        </w:r>
        <w:r>
          <w:rPr>
            <w:sz w:val="32"/>
            <w:szCs w:val="32"/>
          </w:rPr>
        </w:r>
        <w:r>
          <w:rPr>
            <w:sz w:val="32"/>
            <w:szCs w:val="32"/>
          </w:rPr>
          <w:fldChar w:fldCharType="separate"/>
        </w:r>
        <w:r w:rsidR="00833460">
          <w:rPr>
            <w:sz w:val="32"/>
            <w:szCs w:val="32"/>
          </w:rPr>
          <w:t>2</w:t>
        </w:r>
        <w:r>
          <w:rPr>
            <w:sz w:val="32"/>
            <w:szCs w:val="32"/>
          </w:rPr>
          <w:fldChar w:fldCharType="end"/>
        </w:r>
      </w:hyperlink>
    </w:p>
    <w:p w:rsidR="00BA218A" w:rsidRDefault="00BA218A">
      <w:pPr>
        <w:pStyle w:val="20"/>
        <w:tabs>
          <w:tab w:val="right" w:leader="dot" w:pos="8306"/>
        </w:tabs>
        <w:adjustRightInd w:val="0"/>
        <w:snapToGrid w:val="0"/>
        <w:spacing w:line="560" w:lineRule="exact"/>
        <w:ind w:leftChars="352" w:left="739"/>
        <w:rPr>
          <w:sz w:val="32"/>
          <w:szCs w:val="32"/>
        </w:rPr>
      </w:pPr>
      <w:hyperlink w:anchor="_Toc16329" w:history="1">
        <w:r w:rsidR="00833460">
          <w:rPr>
            <w:rFonts w:ascii="楷体_GB2312" w:eastAsia="楷体_GB2312" w:hAnsi="楷体_GB2312" w:cs="楷体_GB2312" w:hint="eastAsia"/>
            <w:spacing w:val="-4"/>
            <w:sz w:val="32"/>
            <w:szCs w:val="32"/>
          </w:rPr>
          <w:t>（一）绩效自评整体情况（单位自评情况，不是抽查复核情况）</w:t>
        </w:r>
        <w:r w:rsidR="00833460">
          <w:rPr>
            <w:sz w:val="32"/>
            <w:szCs w:val="32"/>
          </w:rPr>
          <w:tab/>
        </w:r>
        <w:r>
          <w:rPr>
            <w:rFonts w:ascii="仿宋_GB2312" w:hAnsi="Calibri"/>
            <w:color w:val="000000"/>
            <w:sz w:val="32"/>
            <w:szCs w:val="32"/>
          </w:rPr>
          <w:fldChar w:fldCharType="begin"/>
        </w:r>
        <w:r w:rsidR="00833460">
          <w:rPr>
            <w:rFonts w:ascii="仿宋_GB2312" w:hAnsi="Calibri"/>
            <w:color w:val="000000"/>
            <w:sz w:val="32"/>
            <w:szCs w:val="32"/>
          </w:rPr>
          <w:instrText xml:space="preserve"> PAGEREF _Toc16329 \h </w:instrText>
        </w:r>
        <w:r>
          <w:rPr>
            <w:rFonts w:ascii="仿宋_GB2312" w:hAnsi="Calibri"/>
            <w:color w:val="000000"/>
            <w:sz w:val="32"/>
            <w:szCs w:val="32"/>
          </w:rPr>
        </w:r>
        <w:r>
          <w:rPr>
            <w:rFonts w:ascii="仿宋_GB2312" w:hAnsi="Calibri"/>
            <w:color w:val="000000"/>
            <w:sz w:val="32"/>
            <w:szCs w:val="32"/>
          </w:rPr>
          <w:fldChar w:fldCharType="separate"/>
        </w:r>
        <w:r w:rsidR="00833460">
          <w:rPr>
            <w:rFonts w:ascii="仿宋_GB2312" w:hAnsi="Calibri"/>
            <w:color w:val="000000"/>
            <w:sz w:val="32"/>
            <w:szCs w:val="32"/>
          </w:rPr>
          <w:t>2</w:t>
        </w:r>
        <w:r>
          <w:rPr>
            <w:rFonts w:ascii="仿宋_GB2312" w:hAnsi="Calibri"/>
            <w:color w:val="000000"/>
            <w:sz w:val="32"/>
            <w:szCs w:val="32"/>
          </w:rPr>
          <w:fldChar w:fldCharType="end"/>
        </w:r>
      </w:hyperlink>
    </w:p>
    <w:p w:rsidR="00BA218A" w:rsidRDefault="00BA218A">
      <w:pPr>
        <w:pStyle w:val="20"/>
        <w:tabs>
          <w:tab w:val="right" w:leader="dot" w:pos="8306"/>
        </w:tabs>
        <w:adjustRightInd w:val="0"/>
        <w:snapToGrid w:val="0"/>
        <w:spacing w:line="560" w:lineRule="exact"/>
        <w:ind w:firstLineChars="100" w:firstLine="300"/>
        <w:rPr>
          <w:sz w:val="32"/>
          <w:szCs w:val="32"/>
        </w:rPr>
      </w:pPr>
      <w:hyperlink w:anchor="_Toc23927" w:history="1">
        <w:r w:rsidR="00833460">
          <w:rPr>
            <w:rFonts w:ascii="楷体_GB2312" w:eastAsia="楷体_GB2312" w:hAnsi="楷体_GB2312" w:cs="楷体_GB2312" w:hint="eastAsia"/>
            <w:spacing w:val="-4"/>
            <w:sz w:val="32"/>
            <w:szCs w:val="32"/>
          </w:rPr>
          <w:t>（二）主要成效</w:t>
        </w:r>
        <w:r w:rsidR="00833460">
          <w:rPr>
            <w:sz w:val="32"/>
            <w:szCs w:val="32"/>
          </w:rPr>
          <w:tab/>
        </w:r>
        <w:r>
          <w:rPr>
            <w:rFonts w:ascii="仿宋_GB2312" w:hAnsi="Calibri"/>
            <w:color w:val="000000"/>
            <w:sz w:val="32"/>
            <w:szCs w:val="32"/>
          </w:rPr>
          <w:fldChar w:fldCharType="begin"/>
        </w:r>
        <w:r w:rsidR="00833460">
          <w:rPr>
            <w:rFonts w:ascii="仿宋_GB2312" w:hAnsi="Calibri"/>
            <w:color w:val="000000"/>
            <w:sz w:val="32"/>
            <w:szCs w:val="32"/>
          </w:rPr>
          <w:instrText xml:space="preserve"> PAGEREF _Toc23927 \h </w:instrText>
        </w:r>
        <w:r>
          <w:rPr>
            <w:rFonts w:ascii="仿宋_GB2312" w:hAnsi="Calibri"/>
            <w:color w:val="000000"/>
            <w:sz w:val="32"/>
            <w:szCs w:val="32"/>
          </w:rPr>
        </w:r>
        <w:r>
          <w:rPr>
            <w:rFonts w:ascii="仿宋_GB2312" w:hAnsi="Calibri"/>
            <w:color w:val="000000"/>
            <w:sz w:val="32"/>
            <w:szCs w:val="32"/>
          </w:rPr>
          <w:fldChar w:fldCharType="separate"/>
        </w:r>
        <w:r w:rsidR="00833460">
          <w:rPr>
            <w:rFonts w:ascii="仿宋_GB2312" w:hAnsi="Calibri"/>
            <w:color w:val="000000"/>
            <w:sz w:val="32"/>
            <w:szCs w:val="32"/>
          </w:rPr>
          <w:t>2</w:t>
        </w:r>
        <w:r>
          <w:rPr>
            <w:rFonts w:ascii="仿宋_GB2312" w:hAnsi="Calibri"/>
            <w:color w:val="000000"/>
            <w:sz w:val="32"/>
            <w:szCs w:val="32"/>
          </w:rPr>
          <w:fldChar w:fldCharType="end"/>
        </w:r>
      </w:hyperlink>
    </w:p>
    <w:p w:rsidR="00BA218A" w:rsidRDefault="00BA218A">
      <w:pPr>
        <w:pStyle w:val="10"/>
        <w:tabs>
          <w:tab w:val="right" w:leader="dot" w:pos="8306"/>
        </w:tabs>
        <w:adjustRightInd w:val="0"/>
        <w:spacing w:line="560" w:lineRule="exact"/>
        <w:rPr>
          <w:sz w:val="32"/>
          <w:szCs w:val="32"/>
        </w:rPr>
      </w:pPr>
      <w:hyperlink w:anchor="_Toc23295" w:history="1">
        <w:r w:rsidR="00833460">
          <w:rPr>
            <w:rFonts w:ascii="黑体" w:eastAsia="黑体" w:hAnsi="黑体" w:cs="黑体" w:hint="eastAsia"/>
            <w:sz w:val="32"/>
            <w:szCs w:val="32"/>
          </w:rPr>
          <w:t>三、绩效自评抽查复核情况</w:t>
        </w:r>
        <w:r w:rsidR="00833460">
          <w:rPr>
            <w:sz w:val="32"/>
            <w:szCs w:val="32"/>
          </w:rPr>
          <w:tab/>
        </w:r>
        <w:r>
          <w:rPr>
            <w:sz w:val="32"/>
            <w:szCs w:val="32"/>
          </w:rPr>
          <w:fldChar w:fldCharType="begin"/>
        </w:r>
        <w:r w:rsidR="00833460">
          <w:rPr>
            <w:sz w:val="32"/>
            <w:szCs w:val="32"/>
          </w:rPr>
          <w:instrText xml:space="preserve"> PAGEREF _Toc23295 \h </w:instrText>
        </w:r>
        <w:r>
          <w:rPr>
            <w:sz w:val="32"/>
            <w:szCs w:val="32"/>
          </w:rPr>
        </w:r>
        <w:r>
          <w:rPr>
            <w:sz w:val="32"/>
            <w:szCs w:val="32"/>
          </w:rPr>
          <w:fldChar w:fldCharType="separate"/>
        </w:r>
        <w:r w:rsidR="00833460">
          <w:rPr>
            <w:sz w:val="32"/>
            <w:szCs w:val="32"/>
          </w:rPr>
          <w:t>2</w:t>
        </w:r>
        <w:r>
          <w:rPr>
            <w:sz w:val="32"/>
            <w:szCs w:val="32"/>
          </w:rPr>
          <w:fldChar w:fldCharType="end"/>
        </w:r>
      </w:hyperlink>
    </w:p>
    <w:p w:rsidR="00BA218A" w:rsidRDefault="00BA218A">
      <w:pPr>
        <w:pStyle w:val="20"/>
        <w:tabs>
          <w:tab w:val="right" w:leader="dot" w:pos="8306"/>
        </w:tabs>
        <w:adjustRightInd w:val="0"/>
        <w:snapToGrid w:val="0"/>
        <w:spacing w:line="560" w:lineRule="exact"/>
        <w:ind w:firstLineChars="100" w:firstLine="300"/>
        <w:rPr>
          <w:sz w:val="32"/>
          <w:szCs w:val="32"/>
        </w:rPr>
      </w:pPr>
      <w:hyperlink w:anchor="_Toc23965" w:history="1">
        <w:r w:rsidR="00833460">
          <w:rPr>
            <w:rFonts w:ascii="楷体_GB2312" w:eastAsia="楷体_GB2312" w:hAnsi="楷体_GB2312" w:cs="楷体_GB2312" w:hint="eastAsia"/>
            <w:sz w:val="32"/>
            <w:szCs w:val="32"/>
          </w:rPr>
          <w:t>（一）自评和抽查复核评分结果差异率分析</w:t>
        </w:r>
        <w:r w:rsidR="00833460">
          <w:rPr>
            <w:sz w:val="32"/>
            <w:szCs w:val="32"/>
          </w:rPr>
          <w:tab/>
        </w:r>
        <w:r>
          <w:rPr>
            <w:rFonts w:ascii="仿宋_GB2312" w:hAnsi="Calibri"/>
            <w:color w:val="000000"/>
            <w:sz w:val="32"/>
            <w:szCs w:val="32"/>
          </w:rPr>
          <w:fldChar w:fldCharType="begin"/>
        </w:r>
        <w:r w:rsidR="00833460">
          <w:rPr>
            <w:rFonts w:ascii="仿宋_GB2312" w:hAnsi="Calibri"/>
            <w:color w:val="000000"/>
            <w:sz w:val="32"/>
            <w:szCs w:val="32"/>
          </w:rPr>
          <w:instrText xml:space="preserve"> PAGEREF _Toc23965 </w:instrText>
        </w:r>
        <w:r w:rsidR="00833460">
          <w:rPr>
            <w:rFonts w:ascii="仿宋_GB2312" w:hAnsi="Calibri"/>
            <w:color w:val="000000"/>
            <w:sz w:val="32"/>
            <w:szCs w:val="32"/>
          </w:rPr>
          <w:instrText xml:space="preserve">\h </w:instrText>
        </w:r>
        <w:r>
          <w:rPr>
            <w:rFonts w:ascii="仿宋_GB2312" w:hAnsi="Calibri"/>
            <w:color w:val="000000"/>
            <w:sz w:val="32"/>
            <w:szCs w:val="32"/>
          </w:rPr>
        </w:r>
        <w:r>
          <w:rPr>
            <w:rFonts w:ascii="仿宋_GB2312" w:hAnsi="Calibri"/>
            <w:color w:val="000000"/>
            <w:sz w:val="32"/>
            <w:szCs w:val="32"/>
          </w:rPr>
          <w:fldChar w:fldCharType="separate"/>
        </w:r>
        <w:r w:rsidR="00833460">
          <w:rPr>
            <w:rFonts w:ascii="仿宋_GB2312" w:hAnsi="Calibri"/>
            <w:color w:val="000000"/>
            <w:sz w:val="32"/>
            <w:szCs w:val="32"/>
          </w:rPr>
          <w:t>2</w:t>
        </w:r>
        <w:r>
          <w:rPr>
            <w:rFonts w:ascii="仿宋_GB2312" w:hAnsi="Calibri"/>
            <w:color w:val="000000"/>
            <w:sz w:val="32"/>
            <w:szCs w:val="32"/>
          </w:rPr>
          <w:fldChar w:fldCharType="end"/>
        </w:r>
      </w:hyperlink>
    </w:p>
    <w:p w:rsidR="00BA218A" w:rsidRDefault="00BA218A">
      <w:pPr>
        <w:pStyle w:val="20"/>
        <w:tabs>
          <w:tab w:val="right" w:leader="dot" w:pos="8306"/>
        </w:tabs>
        <w:adjustRightInd w:val="0"/>
        <w:snapToGrid w:val="0"/>
        <w:spacing w:line="560" w:lineRule="exact"/>
        <w:ind w:firstLineChars="100" w:firstLine="300"/>
        <w:rPr>
          <w:sz w:val="32"/>
          <w:szCs w:val="32"/>
        </w:rPr>
      </w:pPr>
      <w:hyperlink w:anchor="_Toc10063" w:history="1">
        <w:r w:rsidR="00833460">
          <w:rPr>
            <w:rFonts w:ascii="楷体_GB2312" w:eastAsia="楷体_GB2312" w:hAnsi="楷体_GB2312" w:cs="楷体_GB2312" w:hint="eastAsia"/>
            <w:sz w:val="32"/>
            <w:szCs w:val="32"/>
          </w:rPr>
          <w:t>（二）抽查复核发现的问题</w:t>
        </w:r>
        <w:r w:rsidR="00833460">
          <w:rPr>
            <w:sz w:val="32"/>
            <w:szCs w:val="32"/>
          </w:rPr>
          <w:tab/>
        </w:r>
        <w:r>
          <w:rPr>
            <w:rFonts w:ascii="仿宋_GB2312" w:hAnsi="Calibri"/>
            <w:color w:val="000000"/>
            <w:sz w:val="32"/>
            <w:szCs w:val="32"/>
          </w:rPr>
          <w:fldChar w:fldCharType="begin"/>
        </w:r>
        <w:r w:rsidR="00833460">
          <w:rPr>
            <w:rFonts w:ascii="仿宋_GB2312" w:hAnsi="Calibri"/>
            <w:color w:val="000000"/>
            <w:sz w:val="32"/>
            <w:szCs w:val="32"/>
          </w:rPr>
          <w:instrText xml:space="preserve"> PAGEREF _Toc10063 \h </w:instrText>
        </w:r>
        <w:r>
          <w:rPr>
            <w:rFonts w:ascii="仿宋_GB2312" w:hAnsi="Calibri"/>
            <w:color w:val="000000"/>
            <w:sz w:val="32"/>
            <w:szCs w:val="32"/>
          </w:rPr>
        </w:r>
        <w:r>
          <w:rPr>
            <w:rFonts w:ascii="仿宋_GB2312" w:hAnsi="Calibri"/>
            <w:color w:val="000000"/>
            <w:sz w:val="32"/>
            <w:szCs w:val="32"/>
          </w:rPr>
          <w:fldChar w:fldCharType="separate"/>
        </w:r>
        <w:r w:rsidR="00833460">
          <w:rPr>
            <w:rFonts w:ascii="仿宋_GB2312" w:hAnsi="Calibri"/>
            <w:color w:val="000000"/>
            <w:sz w:val="32"/>
            <w:szCs w:val="32"/>
          </w:rPr>
          <w:t>2</w:t>
        </w:r>
        <w:r>
          <w:rPr>
            <w:rFonts w:ascii="仿宋_GB2312" w:hAnsi="Calibri"/>
            <w:color w:val="000000"/>
            <w:sz w:val="32"/>
            <w:szCs w:val="32"/>
          </w:rPr>
          <w:fldChar w:fldCharType="end"/>
        </w:r>
      </w:hyperlink>
    </w:p>
    <w:p w:rsidR="00BA218A" w:rsidRDefault="00BA218A">
      <w:pPr>
        <w:pStyle w:val="10"/>
        <w:tabs>
          <w:tab w:val="right" w:leader="dot" w:pos="8306"/>
        </w:tabs>
        <w:adjustRightInd w:val="0"/>
        <w:spacing w:line="560" w:lineRule="exact"/>
        <w:rPr>
          <w:sz w:val="32"/>
          <w:szCs w:val="32"/>
        </w:rPr>
      </w:pPr>
      <w:hyperlink w:anchor="_Toc19466" w:history="1">
        <w:r w:rsidR="00833460">
          <w:rPr>
            <w:rFonts w:ascii="黑体" w:eastAsia="黑体" w:hAnsi="黑体" w:cs="黑体" w:hint="eastAsia"/>
            <w:sz w:val="32"/>
            <w:szCs w:val="32"/>
          </w:rPr>
          <w:t>四、意见建议</w:t>
        </w:r>
        <w:r w:rsidR="00833460">
          <w:rPr>
            <w:sz w:val="32"/>
            <w:szCs w:val="32"/>
          </w:rPr>
          <w:tab/>
        </w:r>
        <w:r>
          <w:rPr>
            <w:sz w:val="32"/>
            <w:szCs w:val="32"/>
          </w:rPr>
          <w:fldChar w:fldCharType="begin"/>
        </w:r>
        <w:r w:rsidR="00833460">
          <w:rPr>
            <w:sz w:val="32"/>
            <w:szCs w:val="32"/>
          </w:rPr>
          <w:instrText xml:space="preserve"> PAGEREF _Toc19466 \h </w:instrText>
        </w:r>
        <w:r>
          <w:rPr>
            <w:sz w:val="32"/>
            <w:szCs w:val="32"/>
          </w:rPr>
        </w:r>
        <w:r>
          <w:rPr>
            <w:sz w:val="32"/>
            <w:szCs w:val="32"/>
          </w:rPr>
          <w:fldChar w:fldCharType="separate"/>
        </w:r>
        <w:r w:rsidR="00833460">
          <w:rPr>
            <w:sz w:val="32"/>
            <w:szCs w:val="32"/>
          </w:rPr>
          <w:t>3</w:t>
        </w:r>
        <w:r>
          <w:rPr>
            <w:sz w:val="32"/>
            <w:szCs w:val="32"/>
          </w:rPr>
          <w:fldChar w:fldCharType="end"/>
        </w:r>
      </w:hyperlink>
    </w:p>
    <w:p w:rsidR="00BA218A" w:rsidRDefault="00BA218A">
      <w:pPr>
        <w:pStyle w:val="aa"/>
        <w:numPr>
          <w:ilvl w:val="255"/>
          <w:numId w:val="0"/>
        </w:numPr>
        <w:adjustRightInd w:val="0"/>
        <w:snapToGrid w:val="0"/>
        <w:spacing w:line="560" w:lineRule="exact"/>
        <w:ind w:left="2730"/>
        <w:rPr>
          <w:rFonts w:ascii="黑体" w:eastAsia="黑体" w:hAnsi="黑体" w:cs="黑体"/>
          <w:sz w:val="32"/>
          <w:szCs w:val="32"/>
        </w:rPr>
      </w:pPr>
      <w:r>
        <w:rPr>
          <w:rFonts w:eastAsia="宋体"/>
          <w:bCs/>
          <w:sz w:val="32"/>
          <w:szCs w:val="32"/>
        </w:rPr>
        <w:fldChar w:fldCharType="end"/>
      </w:r>
    </w:p>
    <w:p w:rsidR="00BA218A" w:rsidRDefault="00BA218A">
      <w:pPr>
        <w:pStyle w:val="1"/>
        <w:widowControl/>
        <w:overflowPunct w:val="0"/>
        <w:autoSpaceDE w:val="0"/>
        <w:autoSpaceDN w:val="0"/>
        <w:adjustRightInd w:val="0"/>
        <w:snapToGrid w:val="0"/>
        <w:spacing w:line="560" w:lineRule="exact"/>
        <w:ind w:firstLineChars="200" w:firstLine="480"/>
        <w:textAlignment w:val="baseline"/>
        <w:rPr>
          <w:rFonts w:eastAsia="宋体"/>
          <w:b w:val="0"/>
          <w:bCs/>
          <w:sz w:val="24"/>
        </w:rPr>
      </w:pPr>
    </w:p>
    <w:p w:rsidR="00BA218A" w:rsidRDefault="00BA218A">
      <w:pPr>
        <w:spacing w:line="560" w:lineRule="exact"/>
        <w:sectPr w:rsidR="00BA218A">
          <w:footerReference w:type="default" r:id="rId8"/>
          <w:pgSz w:w="11906" w:h="16838"/>
          <w:pgMar w:top="2098" w:right="1800" w:bottom="1440" w:left="1800" w:header="737" w:footer="851" w:gutter="0"/>
          <w:pgNumType w:start="1"/>
          <w:cols w:space="720"/>
          <w:docGrid w:type="lines" w:linePitch="408"/>
        </w:sectPr>
      </w:pPr>
    </w:p>
    <w:p w:rsidR="00BA218A" w:rsidRPr="003F298D" w:rsidRDefault="00833460" w:rsidP="003F298D">
      <w:pPr>
        <w:tabs>
          <w:tab w:val="left" w:pos="3618"/>
        </w:tabs>
        <w:spacing w:line="560" w:lineRule="exact"/>
        <w:jc w:val="center"/>
        <w:rPr>
          <w:rFonts w:ascii="方正小标宋_GBK" w:eastAsia="方正小标宋_GBK" w:hAnsi="方正小标宋简体" w:cs="方正小标宋简体" w:hint="eastAsia"/>
          <w:bCs/>
          <w:sz w:val="44"/>
          <w:szCs w:val="44"/>
        </w:rPr>
      </w:pPr>
      <w:r w:rsidRPr="003F298D">
        <w:rPr>
          <w:rFonts w:ascii="方正小标宋_GBK" w:eastAsia="方正小标宋_GBK" w:hAnsi="方正小标宋简体" w:cs="方正小标宋简体" w:hint="eastAsia"/>
          <w:bCs/>
          <w:sz w:val="44"/>
          <w:szCs w:val="44"/>
        </w:rPr>
        <w:lastRenderedPageBreak/>
        <w:t>2025</w:t>
      </w:r>
      <w:r w:rsidRPr="003F298D">
        <w:rPr>
          <w:rFonts w:ascii="方正小标宋_GBK" w:eastAsia="方正小标宋_GBK" w:hAnsi="方正小标宋简体" w:cs="方正小标宋简体" w:hint="eastAsia"/>
          <w:bCs/>
          <w:sz w:val="44"/>
          <w:szCs w:val="44"/>
        </w:rPr>
        <w:t>年度</w:t>
      </w:r>
      <w:r w:rsidRPr="003F298D">
        <w:rPr>
          <w:rFonts w:ascii="方正小标宋_GBK" w:eastAsia="方正小标宋_GBK" w:hAnsi="方正小标宋简体" w:cs="方正小标宋简体" w:hint="eastAsia"/>
          <w:bCs/>
          <w:sz w:val="44"/>
          <w:szCs w:val="44"/>
        </w:rPr>
        <w:t>为民办事工作经费</w:t>
      </w:r>
      <w:r w:rsidRPr="003F298D">
        <w:rPr>
          <w:rFonts w:ascii="方正小标宋_GBK" w:eastAsia="方正小标宋_GBK" w:hAnsi="方正小标宋简体" w:cs="方正小标宋简体" w:hint="eastAsia"/>
          <w:bCs/>
          <w:sz w:val="44"/>
          <w:szCs w:val="44"/>
        </w:rPr>
        <w:t>绩效</w:t>
      </w:r>
    </w:p>
    <w:p w:rsidR="00BA218A" w:rsidRDefault="00833460" w:rsidP="003F298D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 w:rsidRPr="003F298D">
        <w:rPr>
          <w:rFonts w:ascii="方正小标宋_GBK" w:eastAsia="方正小标宋_GBK" w:hAnsi="方正小标宋简体" w:cs="方正小标宋简体" w:hint="eastAsia"/>
          <w:bCs/>
          <w:sz w:val="44"/>
          <w:szCs w:val="44"/>
        </w:rPr>
        <w:t>自评抽查复核报告</w:t>
      </w:r>
    </w:p>
    <w:p w:rsidR="00BA218A" w:rsidRDefault="00BA218A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:rsidR="00BA218A" w:rsidRDefault="00833460">
      <w:pPr>
        <w:pStyle w:val="aa"/>
        <w:spacing w:line="560" w:lineRule="exact"/>
        <w:ind w:left="640" w:firstLineChars="0" w:firstLine="0"/>
        <w:outlineLvl w:val="0"/>
        <w:rPr>
          <w:rFonts w:ascii="黑体" w:eastAsia="黑体" w:hAnsi="黑体" w:cs="黑体"/>
          <w:sz w:val="32"/>
          <w:szCs w:val="32"/>
        </w:rPr>
      </w:pPr>
      <w:bookmarkStart w:id="0" w:name="_Toc27098"/>
      <w:bookmarkStart w:id="1" w:name="_Toc4413"/>
      <w:bookmarkStart w:id="2" w:name="_Toc11904"/>
      <w:bookmarkStart w:id="3" w:name="_Toc20850"/>
      <w:r>
        <w:rPr>
          <w:rFonts w:ascii="黑体" w:eastAsia="黑体" w:hAnsi="黑体" w:cs="黑体" w:hint="eastAsia"/>
          <w:sz w:val="32"/>
          <w:szCs w:val="32"/>
        </w:rPr>
        <w:t>一、组织情况（抽查组织情况）</w:t>
      </w:r>
      <w:bookmarkEnd w:id="0"/>
      <w:bookmarkEnd w:id="1"/>
      <w:bookmarkEnd w:id="2"/>
      <w:bookmarkEnd w:id="3"/>
    </w:p>
    <w:p w:rsidR="00BA218A" w:rsidRDefault="00833460">
      <w:pPr>
        <w:pStyle w:val="2"/>
        <w:keepNext w:val="0"/>
        <w:widowControl/>
        <w:overflowPunct w:val="0"/>
        <w:autoSpaceDE w:val="0"/>
        <w:autoSpaceDN w:val="0"/>
        <w:adjustRightInd w:val="0"/>
        <w:snapToGrid w:val="0"/>
        <w:spacing w:before="0" w:after="0" w:line="560" w:lineRule="exact"/>
        <w:ind w:firstLineChars="200" w:firstLine="640"/>
        <w:textAlignment w:val="baseline"/>
        <w:rPr>
          <w:rFonts w:ascii="Cambria" w:eastAsia="楷体" w:hAnsi="Cambria"/>
          <w:b w:val="0"/>
          <w:bCs w:val="0"/>
          <w:kern w:val="0"/>
        </w:rPr>
      </w:pPr>
      <w:bookmarkStart w:id="4" w:name="_Toc23777"/>
      <w:bookmarkStart w:id="5" w:name="_Toc21684"/>
      <w:bookmarkStart w:id="6" w:name="_Toc11751"/>
      <w:bookmarkStart w:id="7" w:name="_Toc11369"/>
      <w:bookmarkStart w:id="8" w:name="_Toc78653001"/>
      <w:r>
        <w:rPr>
          <w:rFonts w:ascii="Cambria" w:eastAsia="楷体" w:hAnsi="Cambria" w:hint="eastAsia"/>
          <w:b w:val="0"/>
          <w:bCs w:val="0"/>
          <w:kern w:val="0"/>
        </w:rPr>
        <w:t>（一）抽查复核目的和对象</w:t>
      </w:r>
      <w:bookmarkEnd w:id="4"/>
      <w:bookmarkEnd w:id="5"/>
      <w:bookmarkEnd w:id="6"/>
      <w:bookmarkEnd w:id="7"/>
      <w:bookmarkEnd w:id="8"/>
    </w:p>
    <w:p w:rsidR="00BA218A" w:rsidRDefault="00833460">
      <w:pPr>
        <w:spacing w:line="560" w:lineRule="exact"/>
        <w:ind w:firstLineChars="200" w:firstLine="640"/>
        <w:rPr>
          <w:rFonts w:ascii="仿宋_GB2312" w:hAnsi="仿宋"/>
          <w:sz w:val="32"/>
          <w:szCs w:val="32"/>
        </w:rPr>
      </w:pPr>
      <w:r>
        <w:rPr>
          <w:rFonts w:ascii="仿宋_GB2312" w:hAnsi="仿宋" w:hint="eastAsia"/>
          <w:sz w:val="32"/>
          <w:szCs w:val="32"/>
        </w:rPr>
        <w:t>1.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抽查复核目的</w:t>
      </w:r>
    </w:p>
    <w:p w:rsidR="00BA218A" w:rsidRDefault="00833460">
      <w:pPr>
        <w:autoSpaceDE w:val="0"/>
        <w:autoSpaceDN w:val="0"/>
        <w:adjustRightInd w:val="0"/>
        <w:spacing w:line="560" w:lineRule="exact"/>
        <w:ind w:firstLineChars="200" w:firstLine="624"/>
        <w:jc w:val="left"/>
        <w:rPr>
          <w:rFonts w:ascii="仿宋_GB2312" w:eastAsia="仿宋_GB2312" w:hAnsi="楷体_GB2312" w:cs="楷体_GB2312"/>
          <w:spacing w:val="-4"/>
          <w:sz w:val="32"/>
          <w:szCs w:val="32"/>
        </w:rPr>
      </w:pPr>
      <w:bookmarkStart w:id="9" w:name="_Toc32652"/>
      <w:bookmarkStart w:id="10" w:name="_Toc14593"/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通过对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2025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年度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为民办事工作经费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单位自评的预算执行和绩效目标完成情况进行客观、公正的复核，总结项目实施过程中的经验做法，发现完整性、规范性、真实性和准确性方面存在的问题，提出改进建议，提高专项资金的使用效率。</w:t>
      </w:r>
      <w:bookmarkEnd w:id="9"/>
      <w:bookmarkEnd w:id="10"/>
    </w:p>
    <w:p w:rsidR="00BA218A" w:rsidRDefault="00833460">
      <w:pPr>
        <w:spacing w:line="560" w:lineRule="exact"/>
        <w:ind w:firstLineChars="200" w:firstLine="640"/>
        <w:rPr>
          <w:rFonts w:ascii="仿宋_GB2312" w:hAnsi="仿宋"/>
          <w:sz w:val="32"/>
          <w:szCs w:val="32"/>
        </w:rPr>
      </w:pPr>
      <w:r>
        <w:rPr>
          <w:rFonts w:ascii="仿宋_GB2312" w:hAnsi="仿宋" w:hint="eastAsia"/>
          <w:sz w:val="32"/>
          <w:szCs w:val="32"/>
        </w:rPr>
        <w:t>2.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抽查复核对象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2025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年度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为民办事工作经费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单位自评表及证明资料，包括：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1.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财政批复的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2025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年度项目支出绩效目标申报表；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2.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项目预算编制依据和相关执行数据资料；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3.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政务热线值班工作经费支出佐证资料；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4.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为民办事工作经费支出佐证资料；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5.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法律服务次数佐证资料；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6.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合同审核数量佐证资料；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7.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督查督办情况佐证资料；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8.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互联网专线光纤租用佐证资料；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9.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社会治理大数据平台系统运行监测数据资料；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10.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现场督办完成情况资料；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lastRenderedPageBreak/>
        <w:t>11.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系统故障响应时效资料；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12.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政务热线事件处理率佐证资料；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13.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满意度调查佐证资料。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14.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获表彰案例资料。</w:t>
      </w:r>
    </w:p>
    <w:p w:rsidR="00BA218A" w:rsidRDefault="00833460">
      <w:pPr>
        <w:pStyle w:val="2"/>
        <w:keepNext w:val="0"/>
        <w:widowControl/>
        <w:overflowPunct w:val="0"/>
        <w:autoSpaceDE w:val="0"/>
        <w:autoSpaceDN w:val="0"/>
        <w:adjustRightInd w:val="0"/>
        <w:snapToGrid w:val="0"/>
        <w:spacing w:before="0" w:after="0" w:line="560" w:lineRule="exact"/>
        <w:ind w:firstLineChars="200" w:firstLine="640"/>
        <w:textAlignment w:val="baseline"/>
        <w:rPr>
          <w:rFonts w:ascii="Cambria" w:eastAsia="楷体" w:hAnsi="Cambria"/>
          <w:b w:val="0"/>
          <w:bCs w:val="0"/>
          <w:kern w:val="0"/>
        </w:rPr>
      </w:pPr>
      <w:bookmarkStart w:id="11" w:name="_Toc78653003"/>
      <w:bookmarkStart w:id="12" w:name="_Toc3766"/>
      <w:bookmarkStart w:id="13" w:name="_Toc419"/>
      <w:bookmarkStart w:id="14" w:name="_Toc3668"/>
      <w:bookmarkStart w:id="15" w:name="_Toc19067"/>
      <w:r>
        <w:rPr>
          <w:rFonts w:ascii="Cambria" w:eastAsia="楷体" w:hAnsi="Cambria" w:hint="eastAsia"/>
          <w:b w:val="0"/>
          <w:bCs w:val="0"/>
          <w:kern w:val="0"/>
        </w:rPr>
        <w:t>（二）抽查复核依据、方法和标准</w:t>
      </w:r>
      <w:bookmarkEnd w:id="11"/>
      <w:bookmarkEnd w:id="12"/>
      <w:bookmarkEnd w:id="13"/>
      <w:bookmarkEnd w:id="14"/>
      <w:bookmarkEnd w:id="15"/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1.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抽查复核依据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本次绩效评价依据的财政相关文件包括《关于全面实施预算绩效管理的意见》（中发〔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2018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〕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34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号）、《关于印发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&lt;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项目支出绩效评价管理办法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&gt;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的通知》（财预〔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2020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〕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10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号）等文件精神。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2.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抽查复核方法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bookmarkStart w:id="16" w:name="_Toc78653004"/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为保证评价工作的科学性，根据预算部门及单位提供的材料，采取资料审核及现场勘查等方式抽查复核。</w:t>
      </w:r>
      <w:bookmarkEnd w:id="16"/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3.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抽查复核标准</w:t>
      </w:r>
    </w:p>
    <w:p w:rsidR="00BA218A" w:rsidRDefault="00833460">
      <w:pPr>
        <w:spacing w:line="560" w:lineRule="exact"/>
        <w:ind w:firstLineChars="200" w:firstLine="624"/>
        <w:jc w:val="left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根据《关于印发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&lt;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青岛西海岸新区预算绩效管理结果应用暂行办法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&gt;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的通知》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(</w:t>
      </w:r>
      <w:r>
        <w:rPr>
          <w:rFonts w:ascii="仿宋_GB2312" w:eastAsia="仿宋_GB2312" w:hint="eastAsia"/>
          <w:sz w:val="32"/>
        </w:rPr>
        <w:t>青西新财〔</w:t>
      </w:r>
      <w:r>
        <w:rPr>
          <w:rFonts w:ascii="仿宋_GB2312" w:eastAsia="仿宋_GB2312" w:hint="eastAsia"/>
          <w:sz w:val="32"/>
        </w:rPr>
        <w:t>2023</w:t>
      </w:r>
      <w:r>
        <w:rPr>
          <w:rFonts w:ascii="仿宋_GB2312" w:eastAsia="仿宋_GB2312" w:hint="eastAsia"/>
          <w:sz w:val="32"/>
        </w:rPr>
        <w:t>〕</w:t>
      </w:r>
      <w:r>
        <w:rPr>
          <w:rFonts w:ascii="仿宋_GB2312" w:eastAsia="仿宋_GB2312" w:hint="eastAsia"/>
          <w:sz w:val="32"/>
        </w:rPr>
        <w:t>225</w:t>
      </w:r>
      <w:r>
        <w:rPr>
          <w:rFonts w:ascii="仿宋_GB2312" w:eastAsia="仿宋_GB2312" w:hint="eastAsia"/>
          <w:sz w:val="32"/>
        </w:rPr>
        <w:t>号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)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，本次绩效评价综合绩效级别具体分为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4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个等级：</w:t>
      </w:r>
    </w:p>
    <w:p w:rsidR="00BA218A" w:rsidRDefault="00833460">
      <w:pPr>
        <w:autoSpaceDE w:val="0"/>
        <w:autoSpaceDN w:val="0"/>
        <w:adjustRightInd w:val="0"/>
        <w:spacing w:line="560" w:lineRule="exact"/>
        <w:ind w:firstLineChars="200" w:firstLine="624"/>
        <w:jc w:val="left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综合得分在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90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分（含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90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分）以上为“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A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”；</w:t>
      </w:r>
    </w:p>
    <w:p w:rsidR="00BA218A" w:rsidRDefault="00833460">
      <w:pPr>
        <w:autoSpaceDE w:val="0"/>
        <w:autoSpaceDN w:val="0"/>
        <w:adjustRightInd w:val="0"/>
        <w:spacing w:line="560" w:lineRule="exact"/>
        <w:ind w:firstLineChars="200" w:firstLine="624"/>
        <w:jc w:val="left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综合得分在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80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～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90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分（含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80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分）为“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B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”；</w:t>
      </w:r>
    </w:p>
    <w:p w:rsidR="00BA218A" w:rsidRDefault="00833460">
      <w:pPr>
        <w:autoSpaceDE w:val="0"/>
        <w:autoSpaceDN w:val="0"/>
        <w:adjustRightInd w:val="0"/>
        <w:spacing w:line="560" w:lineRule="exact"/>
        <w:ind w:firstLineChars="200" w:firstLine="624"/>
        <w:jc w:val="left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综合得分在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60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～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80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分（含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6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0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分）为“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C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”；</w:t>
      </w:r>
    </w:p>
    <w:p w:rsidR="00BA218A" w:rsidRDefault="00833460">
      <w:pPr>
        <w:autoSpaceDE w:val="0"/>
        <w:autoSpaceDN w:val="0"/>
        <w:adjustRightInd w:val="0"/>
        <w:spacing w:line="560" w:lineRule="exact"/>
        <w:ind w:firstLineChars="200" w:firstLine="624"/>
        <w:jc w:val="left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综合得分在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60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分以下为“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D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”。</w:t>
      </w:r>
    </w:p>
    <w:p w:rsidR="00BA218A" w:rsidRDefault="00BA218A">
      <w:pPr>
        <w:spacing w:line="560" w:lineRule="exact"/>
        <w:ind w:firstLineChars="200" w:firstLine="640"/>
        <w:outlineLvl w:val="0"/>
        <w:rPr>
          <w:rFonts w:ascii="黑体" w:eastAsia="黑体" w:hAnsi="黑体" w:cs="黑体"/>
          <w:sz w:val="32"/>
          <w:szCs w:val="32"/>
        </w:rPr>
      </w:pPr>
      <w:bookmarkStart w:id="17" w:name="_Toc12238"/>
      <w:bookmarkStart w:id="18" w:name="_Toc28438"/>
      <w:bookmarkStart w:id="19" w:name="_Toc17066"/>
      <w:bookmarkStart w:id="20" w:name="_Toc3191"/>
    </w:p>
    <w:p w:rsidR="00BA218A" w:rsidRDefault="00833460">
      <w:pPr>
        <w:spacing w:line="560" w:lineRule="exact"/>
        <w:ind w:firstLineChars="200" w:firstLine="640"/>
        <w:outlineLvl w:val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二、绩效自评开展情况</w:t>
      </w:r>
      <w:bookmarkEnd w:id="17"/>
      <w:bookmarkEnd w:id="18"/>
      <w:bookmarkEnd w:id="19"/>
      <w:bookmarkEnd w:id="20"/>
    </w:p>
    <w:p w:rsidR="00BA218A" w:rsidRDefault="00833460">
      <w:pPr>
        <w:autoSpaceDE w:val="0"/>
        <w:autoSpaceDN w:val="0"/>
        <w:adjustRightInd w:val="0"/>
        <w:spacing w:line="560" w:lineRule="exact"/>
        <w:ind w:firstLineChars="200" w:firstLine="624"/>
        <w:jc w:val="left"/>
        <w:outlineLvl w:val="1"/>
        <w:rPr>
          <w:rFonts w:ascii="楷体_GB2312" w:eastAsia="楷体_GB2312" w:hAnsi="楷体_GB2312" w:cs="楷体_GB2312"/>
          <w:spacing w:val="-4"/>
          <w:sz w:val="32"/>
          <w:szCs w:val="32"/>
        </w:rPr>
      </w:pPr>
      <w:bookmarkStart w:id="21" w:name="_Toc16329"/>
      <w:bookmarkStart w:id="22" w:name="_Toc13477"/>
      <w:bookmarkStart w:id="23" w:name="_Toc26575"/>
      <w:bookmarkStart w:id="24" w:name="_Toc5665"/>
      <w:r>
        <w:rPr>
          <w:rFonts w:ascii="楷体_GB2312" w:eastAsia="楷体_GB2312" w:hAnsi="楷体_GB2312" w:cs="楷体_GB2312" w:hint="eastAsia"/>
          <w:spacing w:val="-4"/>
          <w:sz w:val="32"/>
          <w:szCs w:val="32"/>
        </w:rPr>
        <w:lastRenderedPageBreak/>
        <w:t>（一）绩效自评整体情况</w:t>
      </w:r>
      <w:bookmarkEnd w:id="21"/>
      <w:bookmarkEnd w:id="22"/>
      <w:bookmarkEnd w:id="23"/>
      <w:bookmarkEnd w:id="24"/>
    </w:p>
    <w:p w:rsidR="00BA218A" w:rsidRDefault="00833460">
      <w:pPr>
        <w:autoSpaceDE w:val="0"/>
        <w:autoSpaceDN w:val="0"/>
        <w:adjustRightInd w:val="0"/>
        <w:spacing w:line="560" w:lineRule="exact"/>
        <w:ind w:firstLineChars="200" w:firstLine="624"/>
        <w:jc w:val="left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在绩效管理方面，绩效目标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围绕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单位核心业务，按照多层次、多角度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、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可量化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原则设置，目标设定科学、完整、规范。单位按规定组织开展全过程监控及年度自评等工作，相关资料审核严格，报送及时。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2025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年度工作经费项目绩效评价总得分为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98.446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分。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单位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预算管理较为规范，预算执行率为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84.46%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，预决算公开工作均按要求完成。绩效目标完成情况方面，共计完成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14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个目标，无未完成目标。</w:t>
      </w:r>
    </w:p>
    <w:p w:rsidR="00BA218A" w:rsidRDefault="00833460">
      <w:pPr>
        <w:numPr>
          <w:ilvl w:val="0"/>
          <w:numId w:val="1"/>
        </w:numPr>
        <w:autoSpaceDE w:val="0"/>
        <w:autoSpaceDN w:val="0"/>
        <w:adjustRightInd w:val="0"/>
        <w:spacing w:line="560" w:lineRule="exact"/>
        <w:ind w:firstLineChars="200" w:firstLine="624"/>
        <w:jc w:val="left"/>
        <w:outlineLvl w:val="1"/>
        <w:rPr>
          <w:rFonts w:ascii="楷体_GB2312" w:eastAsia="楷体_GB2312" w:hAnsi="楷体_GB2312" w:cs="楷体_GB2312"/>
          <w:spacing w:val="-4"/>
          <w:sz w:val="32"/>
          <w:szCs w:val="32"/>
        </w:rPr>
      </w:pPr>
      <w:bookmarkStart w:id="25" w:name="_Toc23927"/>
      <w:bookmarkStart w:id="26" w:name="_Toc14915"/>
      <w:bookmarkStart w:id="27" w:name="_Toc8801"/>
      <w:bookmarkStart w:id="28" w:name="_Toc10272"/>
      <w:r>
        <w:rPr>
          <w:rFonts w:ascii="楷体_GB2312" w:eastAsia="楷体_GB2312" w:hAnsi="楷体_GB2312" w:cs="楷体_GB2312" w:hint="eastAsia"/>
          <w:spacing w:val="-4"/>
          <w:sz w:val="32"/>
          <w:szCs w:val="32"/>
        </w:rPr>
        <w:t>主要成效</w:t>
      </w:r>
      <w:bookmarkEnd w:id="25"/>
      <w:bookmarkEnd w:id="26"/>
      <w:bookmarkEnd w:id="27"/>
      <w:bookmarkEnd w:id="28"/>
    </w:p>
    <w:p w:rsidR="00BA218A" w:rsidRDefault="00833460">
      <w:pPr>
        <w:autoSpaceDE w:val="0"/>
        <w:autoSpaceDN w:val="0"/>
        <w:adjustRightInd w:val="0"/>
        <w:spacing w:line="560" w:lineRule="exact"/>
        <w:ind w:firstLineChars="200" w:firstLine="624"/>
        <w:jc w:val="left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2025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年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区市民诉求解决推进中心紧紧围绕“降量提质、源头治理、主动服务”目标，高效推进市民诉求办理工作。在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2025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全国县（市、区）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12345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热线发展大会中，提报的《探索“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1234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”工作法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 xml:space="preserve"> 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绘就民生幸福新画卷》工作经验，被中国信息协会评为县（市、区）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12345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热线新质发展典型案例。</w:t>
      </w:r>
    </w:p>
    <w:p w:rsidR="00BA218A" w:rsidRDefault="003F298D">
      <w:pPr>
        <w:spacing w:line="56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1.</w:t>
      </w:r>
      <w:r w:rsidR="00833460" w:rsidRPr="003F298D">
        <w:rPr>
          <w:rFonts w:ascii="仿宋_GB2312" w:eastAsia="仿宋_GB2312" w:hAnsi="楷体_GB2312" w:cs="楷体_GB2312" w:hint="eastAsia"/>
          <w:sz w:val="32"/>
          <w:szCs w:val="32"/>
        </w:rPr>
        <w:t>创新制度建设，夯实“为民办事”工作基础</w:t>
      </w:r>
    </w:p>
    <w:p w:rsidR="00BA218A" w:rsidRDefault="00833460">
      <w:pPr>
        <w:spacing w:line="560" w:lineRule="exact"/>
        <w:ind w:firstLineChars="200" w:firstLine="643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一是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研究印发《关于进一步提升市民诉求办理质效强化“诉速办”品牌建设的实施意见》，通过“六项机制”“二十条举措”夯实制度保障，构建全周期管理框架。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二是</w:t>
      </w:r>
      <w:r>
        <w:rPr>
          <w:rFonts w:ascii="仿宋_GB2312" w:eastAsia="仿宋_GB2312" w:hAnsi="仿宋_GB2312" w:cs="仿宋_GB2312" w:hint="eastAsia"/>
          <w:sz w:val="32"/>
          <w:szCs w:val="32"/>
        </w:rPr>
        <w:t>修订完善《诉求办理工作手册》，从标准化建设入手，为高效处理诉求提供清晰指引。三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是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建立“干部包干联系制”，通过“定</w:t>
      </w:r>
      <w:r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期走访</w:t>
      </w:r>
      <w:r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专题调研”模式，查找短板、找准不足、研究对策。</w:t>
      </w:r>
    </w:p>
    <w:p w:rsidR="00BA218A" w:rsidRDefault="003F298D">
      <w:pPr>
        <w:spacing w:line="56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2.</w:t>
      </w:r>
      <w:r w:rsidR="00833460" w:rsidRPr="003F298D">
        <w:rPr>
          <w:rFonts w:ascii="仿宋_GB2312" w:eastAsia="仿宋_GB2312" w:hAnsi="楷体_GB2312" w:cs="楷体_GB2312" w:hint="eastAsia"/>
          <w:sz w:val="32"/>
          <w:szCs w:val="32"/>
        </w:rPr>
        <w:t>精准研判分析，锚定“提质增效”核心目标</w:t>
      </w:r>
    </w:p>
    <w:p w:rsidR="00BA218A" w:rsidRDefault="00833460">
      <w:pPr>
        <w:widowControl/>
        <w:spacing w:line="560" w:lineRule="exact"/>
        <w:ind w:firstLineChars="200" w:firstLine="643"/>
        <w:rPr>
          <w:rFonts w:ascii="黑体" w:eastAsia="仿宋_GB2312" w:hAnsi="黑体" w:cs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lastRenderedPageBreak/>
        <w:t>一是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紧跟市级工作部署与最新政策走向，累计发送“一把手”关注函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560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次、提出针对性工作建议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900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余条，助力承办单位补短板、优流程。</w:t>
      </w:r>
      <w:r>
        <w:rPr>
          <w:rFonts w:ascii="仿宋_GB2312" w:eastAsia="仿宋_GB2312" w:hint="eastAsia"/>
          <w:b/>
          <w:bCs/>
          <w:sz w:val="32"/>
          <w:szCs w:val="32"/>
        </w:rPr>
        <w:t>二是</w:t>
      </w:r>
      <w:r>
        <w:rPr>
          <w:rFonts w:ascii="仿宋_GB2312" w:eastAsia="仿宋_GB2312" w:hAnsi="仿宋_GB2312" w:cs="仿宋_GB2312" w:hint="eastAsia"/>
          <w:sz w:val="32"/>
          <w:szCs w:val="32"/>
        </w:rPr>
        <w:t>构建诉求预警分析模型，利用区数字化平台“数能魔方”工具，精准识别短期激增的诉求事项</w:t>
      </w:r>
      <w:r>
        <w:rPr>
          <w:rFonts w:ascii="仿宋_GB2312" w:eastAsia="仿宋_GB2312" w:hAnsi="仿宋_GB2312" w:cs="仿宋_GB2312" w:hint="eastAsia"/>
          <w:sz w:val="32"/>
          <w:szCs w:val="32"/>
        </w:rPr>
        <w:t>300</w:t>
      </w:r>
      <w:r>
        <w:rPr>
          <w:rFonts w:ascii="仿宋_GB2312" w:eastAsia="仿宋_GB2312" w:hAnsi="仿宋_GB2312" w:cs="仿宋_GB2312" w:hint="eastAsia"/>
          <w:sz w:val="32"/>
          <w:szCs w:val="32"/>
        </w:rPr>
        <w:t>余件，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督导先期干预</w:t>
      </w:r>
      <w:r>
        <w:rPr>
          <w:rFonts w:ascii="仿宋_GB2312" w:eastAsia="仿宋_GB2312" w:hAnsi="仿宋_GB2312" w:cs="仿宋_GB2312" w:hint="eastAsia"/>
          <w:sz w:val="32"/>
          <w:szCs w:val="32"/>
        </w:rPr>
        <w:t>，实现矛盾纠纷源头减量。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三是</w:t>
      </w:r>
      <w:r>
        <w:rPr>
          <w:rFonts w:ascii="仿宋_GB2312" w:eastAsia="仿宋_GB2312" w:hAnsi="仿宋_GB2312" w:cs="仿宋_GB2312" w:hint="eastAsia"/>
          <w:sz w:val="32"/>
          <w:szCs w:val="32"/>
        </w:rPr>
        <w:t>系统梳理</w:t>
      </w:r>
      <w:r>
        <w:rPr>
          <w:rFonts w:ascii="仿宋_GB2312" w:eastAsia="仿宋_GB2312" w:hAnsi="仿宋_GB2312" w:cs="仿宋_GB2312" w:hint="eastAsia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年以来</w:t>
      </w:r>
      <w:r>
        <w:rPr>
          <w:rFonts w:ascii="仿宋_GB2312" w:eastAsia="仿宋_GB2312" w:hAnsi="仿宋_GB2312" w:cs="仿宋_GB2312" w:hint="eastAsia"/>
          <w:sz w:val="32"/>
          <w:szCs w:val="32"/>
        </w:rPr>
        <w:t>1.6</w:t>
      </w:r>
      <w:r>
        <w:rPr>
          <w:rFonts w:ascii="仿宋_GB2312" w:eastAsia="仿宋_GB2312" w:hAnsi="仿宋_GB2312" w:cs="仿宋_GB2312" w:hint="eastAsia"/>
          <w:sz w:val="32"/>
          <w:szCs w:val="32"/>
        </w:rPr>
        <w:t>万余件噪声污染诉求，形成专项分析报告，会同工委编办、区司法局召集专题会议，分类剖析研判、制定转办规则，明晰精准治理路径。</w:t>
      </w:r>
    </w:p>
    <w:p w:rsidR="00BA218A" w:rsidRPr="003F298D" w:rsidRDefault="003F298D">
      <w:pPr>
        <w:spacing w:line="560" w:lineRule="exact"/>
        <w:ind w:firstLineChars="200" w:firstLine="640"/>
        <w:rPr>
          <w:rFonts w:ascii="仿宋_GB2312" w:eastAsia="仿宋_GB2312" w:hAnsi="楷体_GB2312" w:cs="楷体_GB2312" w:hint="eastAsia"/>
          <w:sz w:val="32"/>
          <w:szCs w:val="32"/>
        </w:rPr>
      </w:pPr>
      <w:r w:rsidRPr="003F298D">
        <w:rPr>
          <w:rFonts w:ascii="仿宋_GB2312" w:eastAsia="仿宋_GB2312" w:hAnsi="楷体_GB2312" w:cs="楷体_GB2312" w:hint="eastAsia"/>
          <w:sz w:val="32"/>
          <w:szCs w:val="32"/>
        </w:rPr>
        <w:t>3.</w:t>
      </w:r>
      <w:r w:rsidR="00833460" w:rsidRPr="003F298D">
        <w:rPr>
          <w:rFonts w:ascii="仿宋_GB2312" w:eastAsia="仿宋_GB2312" w:hAnsi="楷体_GB2312" w:cs="楷体_GB2312" w:hint="eastAsia"/>
          <w:sz w:val="32"/>
          <w:szCs w:val="32"/>
        </w:rPr>
        <w:t>开展专项攻坚，深化疑难事项源头治理</w:t>
      </w:r>
    </w:p>
    <w:p w:rsidR="00BA218A" w:rsidRDefault="00833460">
      <w:pPr>
        <w:spacing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黑体" w:hint="eastAsia"/>
          <w:b/>
          <w:bCs/>
          <w:sz w:val="32"/>
          <w:szCs w:val="32"/>
        </w:rPr>
        <w:t>一是</w:t>
      </w:r>
      <w:r>
        <w:rPr>
          <w:rFonts w:ascii="仿宋_GB2312" w:eastAsia="仿宋_GB2312" w:hAnsi="黑体" w:hint="eastAsia"/>
          <w:sz w:val="32"/>
          <w:szCs w:val="32"/>
        </w:rPr>
        <w:t>开展“夏病春治”“冬病夏治”专项行动，构建源头治理长效机制，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靶向解决季节性、周期性民生难题</w:t>
      </w:r>
      <w:r>
        <w:rPr>
          <w:rFonts w:ascii="仿宋_GB2312" w:eastAsia="仿宋_GB2312" w:hAnsi="黑体" w:hint="eastAsia"/>
          <w:sz w:val="32"/>
          <w:szCs w:val="32"/>
        </w:rPr>
        <w:t>。联合教育、市场监管等部门及各街道，对全区</w:t>
      </w:r>
      <w:r>
        <w:rPr>
          <w:rFonts w:ascii="仿宋_GB2312" w:eastAsia="仿宋_GB2312" w:hAnsi="黑体" w:hint="eastAsia"/>
          <w:sz w:val="32"/>
          <w:szCs w:val="32"/>
        </w:rPr>
        <w:t>300</w:t>
      </w:r>
      <w:r>
        <w:rPr>
          <w:rFonts w:ascii="仿宋_GB2312" w:eastAsia="仿宋_GB2312" w:hAnsi="黑体" w:hint="eastAsia"/>
          <w:sz w:val="32"/>
          <w:szCs w:val="32"/>
        </w:rPr>
        <w:t>余家托管机构开展规范化培训，重点覆盖食品安全</w:t>
      </w:r>
      <w:r>
        <w:rPr>
          <w:rFonts w:ascii="仿宋_GB2312" w:eastAsia="仿宋_GB2312" w:hAnsi="黑体" w:hint="eastAsia"/>
          <w:sz w:val="32"/>
          <w:szCs w:val="32"/>
        </w:rPr>
        <w:t>、消防安全、消费纠纷处置等关键环节。</w:t>
      </w:r>
      <w:r>
        <w:rPr>
          <w:rFonts w:ascii="仿宋_GB2312" w:eastAsia="仿宋_GB2312" w:hAnsi="黑体" w:hint="eastAsia"/>
          <w:b/>
          <w:bCs/>
          <w:sz w:val="32"/>
          <w:szCs w:val="32"/>
        </w:rPr>
        <w:t>二是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实施不满意、未解决诉求常态化攻坚行动，累计完成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万件诉求二次办理落实，指出存在问题、限期整改到位。排查梳理“应办未办”工单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9336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件，点对点推送相关承办单位重点推进，再次办理率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63.27%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三是</w:t>
      </w:r>
      <w:r>
        <w:rPr>
          <w:rFonts w:ascii="仿宋_GB2312" w:eastAsia="仿宋_GB2312" w:hAnsi="仿宋_GB2312" w:cs="仿宋_GB2312" w:hint="eastAsia"/>
          <w:sz w:val="32"/>
          <w:szCs w:val="32"/>
        </w:rPr>
        <w:t>持续开展“专项深办”工作，梳理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大领域、</w:t>
      </w:r>
      <w:r>
        <w:rPr>
          <w:rFonts w:ascii="仿宋_GB2312" w:eastAsia="仿宋_GB2312" w:hAnsi="仿宋_GB2312" w:cs="仿宋_GB2312" w:hint="eastAsia"/>
          <w:sz w:val="32"/>
          <w:szCs w:val="32"/>
        </w:rPr>
        <w:t>29</w:t>
      </w:r>
      <w:r>
        <w:rPr>
          <w:rFonts w:ascii="仿宋_GB2312" w:eastAsia="仿宋_GB2312" w:hAnsi="仿宋_GB2312" w:cs="仿宋_GB2312" w:hint="eastAsia"/>
          <w:sz w:val="32"/>
          <w:szCs w:val="32"/>
        </w:rPr>
        <w:t>个单位基本公共服务领域突出问题</w:t>
      </w:r>
      <w:r>
        <w:rPr>
          <w:rFonts w:ascii="仿宋_GB2312" w:eastAsia="仿宋_GB2312" w:hAnsi="仿宋_GB2312" w:cs="仿宋_GB2312" w:hint="eastAsia"/>
          <w:sz w:val="32"/>
          <w:szCs w:val="32"/>
        </w:rPr>
        <w:t>365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个，建立整治台账，实行销号管理，深入挖掘“专项深办”重点领域问题，选取诉求集中、职责存议的“一类事”，在厘清职责的同时，确保诉求处置到底到位。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四是</w:t>
      </w:r>
      <w:r>
        <w:rPr>
          <w:rFonts w:ascii="仿宋_GB2312" w:eastAsia="仿宋_GB2312" w:hAnsi="仿宋_GB2312" w:cs="仿宋_GB2312" w:hint="eastAsia"/>
          <w:sz w:val="32"/>
          <w:szCs w:val="32"/>
        </w:rPr>
        <w:t>全力做好海洋合作发展论坛、第</w:t>
      </w:r>
      <w:r>
        <w:rPr>
          <w:rFonts w:ascii="仿宋_GB2312" w:eastAsia="仿宋_GB2312" w:hAnsi="仿宋_GB2312" w:cs="仿宋_GB2312" w:hint="eastAsia"/>
          <w:sz w:val="32"/>
          <w:szCs w:val="32"/>
        </w:rPr>
        <w:t>35</w:t>
      </w:r>
      <w:r>
        <w:rPr>
          <w:rFonts w:ascii="仿宋_GB2312" w:eastAsia="仿宋_GB2312" w:hAnsi="仿宋_GB2312" w:cs="仿宋_GB2312" w:hint="eastAsia"/>
          <w:sz w:val="32"/>
          <w:szCs w:val="32"/>
        </w:rPr>
        <w:t>届青岛国际啤酒节等重要活动保障工作，开通啤酒节诉求专线，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建立完善“</w:t>
      </w:r>
      <w:r>
        <w:rPr>
          <w:rFonts w:ascii="仿宋_GB2312" w:eastAsia="仿宋_GB2312" w:hAnsi="仿宋_GB2312" w:cs="仿宋_GB2312" w:hint="eastAsia"/>
          <w:sz w:val="32"/>
          <w:szCs w:val="32"/>
        </w:rPr>
        <w:t>1120</w:t>
      </w:r>
      <w:r>
        <w:rPr>
          <w:rFonts w:ascii="仿宋_GB2312" w:eastAsia="仿宋_GB2312" w:hAnsi="仿宋_GB2312" w:cs="仿宋_GB2312" w:hint="eastAsia"/>
          <w:sz w:val="32"/>
          <w:szCs w:val="32"/>
        </w:rPr>
        <w:t>”工作机制，累计受理处置诉求</w:t>
      </w:r>
      <w:r>
        <w:rPr>
          <w:rFonts w:ascii="仿宋_GB2312" w:eastAsia="仿宋_GB2312" w:hAnsi="仿宋_GB2312" w:cs="仿宋_GB2312" w:hint="eastAsia"/>
          <w:sz w:val="32"/>
          <w:szCs w:val="32"/>
        </w:rPr>
        <w:t>1572</w:t>
      </w:r>
      <w:r>
        <w:rPr>
          <w:rFonts w:ascii="仿宋_GB2312" w:eastAsia="仿宋_GB2312" w:hAnsi="仿宋_GB2312" w:cs="仿宋_GB2312" w:hint="eastAsia"/>
          <w:sz w:val="32"/>
          <w:szCs w:val="32"/>
        </w:rPr>
        <w:t>件，同比下降</w:t>
      </w:r>
      <w:r>
        <w:rPr>
          <w:rFonts w:ascii="仿宋_GB2312" w:eastAsia="仿宋_GB2312" w:hAnsi="仿宋_GB2312" w:cs="仿宋_GB2312" w:hint="eastAsia"/>
          <w:sz w:val="32"/>
          <w:szCs w:val="32"/>
        </w:rPr>
        <w:t>37.4%</w:t>
      </w:r>
      <w:r>
        <w:rPr>
          <w:rFonts w:ascii="仿宋_GB2312" w:eastAsia="仿宋_GB2312" w:hAnsi="仿宋_GB2312" w:cs="仿宋_GB2312" w:hint="eastAsia"/>
          <w:sz w:val="32"/>
          <w:szCs w:val="32"/>
        </w:rPr>
        <w:t>，满意率、解决率均超</w:t>
      </w:r>
      <w:r>
        <w:rPr>
          <w:rFonts w:ascii="仿宋_GB2312" w:eastAsia="仿宋_GB2312" w:hAnsi="仿宋_GB2312" w:cs="仿宋_GB2312" w:hint="eastAsia"/>
          <w:sz w:val="32"/>
          <w:szCs w:val="32"/>
        </w:rPr>
        <w:t>90%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A218A" w:rsidRPr="003F298D" w:rsidRDefault="003F298D">
      <w:pPr>
        <w:spacing w:line="560" w:lineRule="exact"/>
        <w:ind w:firstLineChars="200" w:firstLine="640"/>
        <w:rPr>
          <w:rFonts w:ascii="仿宋_GB2312" w:eastAsia="仿宋_GB2312" w:hAnsi="楷体_GB2312" w:cs="楷体_GB2312" w:hint="eastAsia"/>
          <w:sz w:val="32"/>
          <w:szCs w:val="32"/>
        </w:rPr>
      </w:pPr>
      <w:r w:rsidRPr="003F298D">
        <w:rPr>
          <w:rFonts w:ascii="仿宋_GB2312" w:eastAsia="仿宋_GB2312" w:hAnsi="楷体_GB2312" w:cs="楷体_GB2312" w:hint="eastAsia"/>
          <w:sz w:val="32"/>
          <w:szCs w:val="32"/>
        </w:rPr>
        <w:t>4.</w:t>
      </w:r>
      <w:r w:rsidR="00833460" w:rsidRPr="003F298D">
        <w:rPr>
          <w:rFonts w:ascii="仿宋_GB2312" w:eastAsia="仿宋_GB2312" w:hAnsi="楷体_GB2312" w:cs="楷体_GB2312" w:hint="eastAsia"/>
          <w:sz w:val="32"/>
          <w:szCs w:val="32"/>
        </w:rPr>
        <w:t>严格督导落实，提升诉求处置总体质效</w:t>
      </w:r>
    </w:p>
    <w:p w:rsidR="00BA218A" w:rsidRDefault="00833460">
      <w:pPr>
        <w:spacing w:line="560" w:lineRule="exact"/>
        <w:ind w:firstLineChars="200" w:firstLine="643"/>
        <w:rPr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黑体" w:hint="eastAsia"/>
          <w:b/>
          <w:bCs/>
          <w:sz w:val="32"/>
          <w:szCs w:val="32"/>
        </w:rPr>
        <w:t>一是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聚焦高频诉求领域，</w:t>
      </w:r>
      <w:r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随机抽取办结工单进行回访，对暴露出的响应不及时、答复不精</w:t>
      </w:r>
      <w:r>
        <w:rPr>
          <w:rFonts w:ascii="仿宋_GB2312" w:eastAsia="仿宋_GB2312" w:hAnsi="黑体" w:hint="eastAsia"/>
          <w:sz w:val="32"/>
          <w:szCs w:val="32"/>
        </w:rPr>
        <w:t>准、落实不到位等问题，通过《工作参考》进行“曝光晾晒”。</w:t>
      </w:r>
      <w:r>
        <w:rPr>
          <w:rFonts w:ascii="仿宋_GB2312" w:eastAsia="仿宋_GB2312" w:hAnsi="仿宋_GB2312" w:cs="仿宋_GB2312" w:hint="eastAsia"/>
          <w:b/>
          <w:color w:val="000000" w:themeColor="text1"/>
          <w:sz w:val="32"/>
          <w:szCs w:val="32"/>
        </w:rPr>
        <w:t>二是</w:t>
      </w:r>
      <w:r>
        <w:rPr>
          <w:rFonts w:ascii="仿宋_GB2312" w:eastAsia="仿宋_GB2312" w:hint="eastAsia"/>
          <w:sz w:val="32"/>
          <w:szCs w:val="32"/>
        </w:rPr>
        <w:t>对省企业“接诉即办”渠道诉求处置“关口”前移、接诉即办，对常规企业咨询事项，建立由</w:t>
      </w:r>
      <w:r>
        <w:rPr>
          <w:rFonts w:ascii="仿宋_GB2312" w:eastAsia="仿宋_GB2312" w:hint="eastAsia"/>
          <w:sz w:val="32"/>
          <w:szCs w:val="32"/>
        </w:rPr>
        <w:t>23</w:t>
      </w:r>
      <w:r>
        <w:rPr>
          <w:rFonts w:ascii="仿宋_GB2312" w:eastAsia="仿宋_GB2312" w:hint="eastAsia"/>
          <w:sz w:val="32"/>
          <w:szCs w:val="32"/>
        </w:rPr>
        <w:t>个涉企单位、</w:t>
      </w:r>
      <w:r>
        <w:rPr>
          <w:rFonts w:ascii="仿宋_GB2312" w:eastAsia="仿宋_GB2312" w:hint="eastAsia"/>
          <w:sz w:val="32"/>
          <w:szCs w:val="32"/>
        </w:rPr>
        <w:t>134</w:t>
      </w:r>
      <w:r>
        <w:rPr>
          <w:rFonts w:ascii="仿宋_GB2312" w:eastAsia="仿宋_GB2312" w:hint="eastAsia"/>
          <w:sz w:val="32"/>
          <w:szCs w:val="32"/>
        </w:rPr>
        <w:t>位熟知涉企相关政策的专员队伍，通过</w:t>
      </w:r>
      <w:r>
        <w:rPr>
          <w:rFonts w:ascii="仿宋_GB2312" w:eastAsia="仿宋_GB2312" w:hint="eastAsia"/>
          <w:sz w:val="32"/>
          <w:szCs w:val="32"/>
        </w:rPr>
        <w:t>四方连线至涉企政策专员进行问题即时解答，有效提升诉求办理质量；全年共办理省企业诉求“接诉即办”事项</w:t>
      </w:r>
      <w:r>
        <w:rPr>
          <w:rFonts w:ascii="仿宋_GB2312" w:eastAsia="仿宋_GB2312" w:hint="eastAsia"/>
          <w:sz w:val="32"/>
          <w:szCs w:val="32"/>
        </w:rPr>
        <w:t>170</w:t>
      </w:r>
      <w:r>
        <w:rPr>
          <w:rFonts w:ascii="仿宋_GB2312" w:eastAsia="仿宋_GB2312" w:hint="eastAsia"/>
          <w:sz w:val="32"/>
          <w:szCs w:val="32"/>
        </w:rPr>
        <w:t>件，均按时响应办结。</w:t>
      </w:r>
      <w:r>
        <w:rPr>
          <w:rFonts w:ascii="仿宋_GB2312" w:eastAsia="仿宋_GB2312" w:hAnsi="仿宋_GB2312" w:cs="仿宋_GB2312" w:hint="eastAsia"/>
          <w:b/>
          <w:color w:val="000000" w:themeColor="text1"/>
          <w:sz w:val="32"/>
          <w:szCs w:val="32"/>
        </w:rPr>
        <w:t>三是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每季度由分管区领导牵头召开推进会，聚焦“重复诉求治理”“未诉先办路径”等议题集体会商。</w:t>
      </w:r>
      <w:r>
        <w:rPr>
          <w:rFonts w:ascii="仿宋_GB2312" w:eastAsia="仿宋_GB2312" w:hint="eastAsia"/>
          <w:sz w:val="32"/>
          <w:szCs w:val="32"/>
        </w:rPr>
        <w:t>深入开展“大学习、大培训、大提升”活动，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对全区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余个承办单位的业务骨干进行集中培训</w:t>
      </w:r>
      <w:r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，通过案例教学、模拟接诉、现场观摩等形式，全方位提升诉求办理实战能力。</w:t>
      </w:r>
    </w:p>
    <w:p w:rsidR="00BA218A" w:rsidRDefault="00833460">
      <w:pPr>
        <w:numPr>
          <w:ilvl w:val="0"/>
          <w:numId w:val="2"/>
        </w:numPr>
        <w:spacing w:line="560" w:lineRule="exact"/>
        <w:ind w:firstLineChars="200" w:firstLine="640"/>
        <w:outlineLvl w:val="0"/>
        <w:rPr>
          <w:rFonts w:ascii="黑体" w:eastAsia="黑体" w:hAnsi="黑体" w:cs="黑体"/>
          <w:sz w:val="32"/>
          <w:szCs w:val="32"/>
        </w:rPr>
      </w:pPr>
      <w:bookmarkStart w:id="29" w:name="_Toc19161"/>
      <w:bookmarkStart w:id="30" w:name="_Toc16284"/>
      <w:bookmarkStart w:id="31" w:name="_Toc5430"/>
      <w:bookmarkStart w:id="32" w:name="_Toc23295"/>
      <w:r>
        <w:rPr>
          <w:rFonts w:ascii="黑体" w:eastAsia="黑体" w:hAnsi="黑体" w:cs="黑体" w:hint="eastAsia"/>
          <w:sz w:val="32"/>
          <w:szCs w:val="32"/>
        </w:rPr>
        <w:t>绩效自评抽查复核情况</w:t>
      </w:r>
      <w:bookmarkEnd w:id="29"/>
      <w:bookmarkEnd w:id="30"/>
      <w:bookmarkEnd w:id="31"/>
      <w:bookmarkEnd w:id="32"/>
    </w:p>
    <w:p w:rsidR="00BA218A" w:rsidRPr="003F298D" w:rsidRDefault="003F298D" w:rsidP="003F298D">
      <w:pPr>
        <w:tabs>
          <w:tab w:val="left" w:pos="7230"/>
          <w:tab w:val="left" w:pos="7938"/>
        </w:tabs>
        <w:spacing w:line="560" w:lineRule="exact"/>
        <w:ind w:firstLineChars="200" w:firstLine="640"/>
        <w:jc w:val="left"/>
        <w:rPr>
          <w:rFonts w:ascii="楷体_GB2312" w:eastAsia="楷体_GB2312" w:hAnsi="黑体" w:cs="黑体" w:hint="eastAsia"/>
          <w:sz w:val="32"/>
          <w:szCs w:val="32"/>
        </w:rPr>
      </w:pPr>
      <w:r w:rsidRPr="003F298D">
        <w:rPr>
          <w:rFonts w:ascii="楷体_GB2312" w:eastAsia="楷体_GB2312" w:hAnsi="仿宋_GB2312" w:cs="仿宋_GB2312" w:hint="eastAsia"/>
          <w:bCs/>
          <w:sz w:val="32"/>
          <w:szCs w:val="32"/>
        </w:rPr>
        <w:t>（一）</w:t>
      </w:r>
      <w:r w:rsidR="00833460" w:rsidRPr="003F298D">
        <w:rPr>
          <w:rFonts w:ascii="楷体_GB2312" w:eastAsia="楷体_GB2312" w:hAnsi="仿宋_GB2312" w:cs="仿宋_GB2312" w:hint="eastAsia"/>
          <w:bCs/>
          <w:sz w:val="32"/>
          <w:szCs w:val="32"/>
        </w:rPr>
        <w:t>差异率整体情况</w:t>
      </w:r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自评得分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98.446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分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，复核得分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96.446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份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，差异值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2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，差异率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2%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。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绩效目标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差异个数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2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个，自评项目绩效目标个数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14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个，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差异个数占自评项目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绩效目标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总数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的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14.28%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。</w:t>
      </w:r>
    </w:p>
    <w:p w:rsidR="00BA218A" w:rsidRPr="003F298D" w:rsidRDefault="003F298D" w:rsidP="003F298D">
      <w:pPr>
        <w:tabs>
          <w:tab w:val="left" w:pos="7230"/>
          <w:tab w:val="left" w:pos="7938"/>
        </w:tabs>
        <w:spacing w:line="560" w:lineRule="exact"/>
        <w:ind w:firstLineChars="200" w:firstLine="640"/>
        <w:jc w:val="left"/>
        <w:rPr>
          <w:rFonts w:ascii="楷体_GB2312" w:eastAsia="楷体_GB2312" w:hAnsi="仿宋_GB2312" w:cs="仿宋_GB2312" w:hint="eastAsia"/>
          <w:bCs/>
          <w:sz w:val="32"/>
          <w:szCs w:val="32"/>
        </w:rPr>
      </w:pPr>
      <w:r w:rsidRPr="003F298D">
        <w:rPr>
          <w:rFonts w:ascii="楷体_GB2312" w:eastAsia="楷体_GB2312" w:hAnsi="仿宋_GB2312" w:cs="仿宋_GB2312" w:hint="eastAsia"/>
          <w:bCs/>
          <w:sz w:val="32"/>
          <w:szCs w:val="32"/>
        </w:rPr>
        <w:t>（二）</w:t>
      </w:r>
      <w:r w:rsidR="00833460" w:rsidRPr="003F298D">
        <w:rPr>
          <w:rFonts w:ascii="楷体_GB2312" w:eastAsia="楷体_GB2312" w:hAnsi="仿宋_GB2312" w:cs="仿宋_GB2312" w:hint="eastAsia"/>
          <w:bCs/>
          <w:sz w:val="32"/>
          <w:szCs w:val="32"/>
        </w:rPr>
        <w:t>差异率主要原因</w:t>
      </w:r>
    </w:p>
    <w:p w:rsidR="00BA218A" w:rsidRDefault="003F298D" w:rsidP="003F298D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bookmarkStart w:id="33" w:name="_Toc10063"/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1.</w:t>
      </w:r>
      <w:r w:rsidR="00833460">
        <w:rPr>
          <w:rFonts w:ascii="仿宋_GB2312" w:eastAsia="仿宋_GB2312" w:hAnsi="楷体_GB2312" w:cs="楷体_GB2312" w:hint="eastAsia"/>
          <w:spacing w:val="-4"/>
          <w:sz w:val="32"/>
          <w:szCs w:val="32"/>
        </w:rPr>
        <w:t>经济成本指标中政务热线值班工作经费指标设置值为≤</w:t>
      </w:r>
      <w:r w:rsidR="00833460">
        <w:rPr>
          <w:rFonts w:ascii="仿宋_GB2312" w:eastAsia="仿宋_GB2312" w:hAnsi="楷体_GB2312" w:cs="楷体_GB2312" w:hint="eastAsia"/>
          <w:spacing w:val="-4"/>
          <w:sz w:val="32"/>
          <w:szCs w:val="32"/>
        </w:rPr>
        <w:t>10</w:t>
      </w:r>
      <w:r w:rsidR="00833460">
        <w:rPr>
          <w:rFonts w:ascii="仿宋_GB2312" w:eastAsia="仿宋_GB2312" w:hAnsi="楷体_GB2312" w:cs="楷体_GB2312" w:hint="eastAsia"/>
          <w:spacing w:val="-4"/>
          <w:sz w:val="32"/>
          <w:szCs w:val="32"/>
        </w:rPr>
        <w:lastRenderedPageBreak/>
        <w:t>万元，经核实，该指标实际完成值为</w:t>
      </w:r>
      <w:r w:rsidR="00833460">
        <w:rPr>
          <w:rFonts w:ascii="仿宋_GB2312" w:eastAsia="仿宋_GB2312" w:hAnsi="楷体_GB2312" w:cs="楷体_GB2312" w:hint="eastAsia"/>
          <w:spacing w:val="-4"/>
          <w:sz w:val="32"/>
          <w:szCs w:val="32"/>
        </w:rPr>
        <w:t>10.5</w:t>
      </w:r>
      <w:r w:rsidR="00833460">
        <w:rPr>
          <w:rFonts w:ascii="仿宋_GB2312" w:eastAsia="仿宋_GB2312" w:hAnsi="楷体_GB2312" w:cs="楷体_GB2312" w:hint="eastAsia"/>
          <w:spacing w:val="-4"/>
          <w:sz w:val="32"/>
          <w:szCs w:val="32"/>
        </w:rPr>
        <w:t>万元，超出设定值。</w:t>
      </w:r>
    </w:p>
    <w:p w:rsidR="00BA218A" w:rsidRDefault="003F298D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2.</w:t>
      </w:r>
      <w:r w:rsidR="00833460">
        <w:rPr>
          <w:rFonts w:ascii="仿宋_GB2312" w:eastAsia="仿宋_GB2312" w:hAnsi="楷体_GB2312" w:cs="楷体_GB2312" w:hint="eastAsia"/>
          <w:spacing w:val="-4"/>
          <w:sz w:val="32"/>
          <w:szCs w:val="32"/>
        </w:rPr>
        <w:t>数量指标中督办、督查次数指标设置值与实际完成值差距过大，指标设置不精准。</w:t>
      </w:r>
    </w:p>
    <w:p w:rsidR="00BA218A" w:rsidRDefault="003F298D">
      <w:pPr>
        <w:tabs>
          <w:tab w:val="left" w:pos="7230"/>
          <w:tab w:val="left" w:pos="7938"/>
        </w:tabs>
        <w:spacing w:line="560" w:lineRule="exact"/>
        <w:ind w:firstLineChars="200" w:firstLine="640"/>
        <w:jc w:val="left"/>
        <w:outlineLvl w:val="1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</w:t>
      </w:r>
      <w:r w:rsidR="00833460">
        <w:rPr>
          <w:rFonts w:ascii="楷体_GB2312" w:eastAsia="楷体_GB2312" w:hAnsi="楷体_GB2312" w:cs="楷体_GB2312" w:hint="eastAsia"/>
          <w:sz w:val="32"/>
          <w:szCs w:val="32"/>
        </w:rPr>
        <w:t>）抽查复核发现的问题</w:t>
      </w:r>
      <w:bookmarkEnd w:id="33"/>
    </w:p>
    <w:p w:rsidR="00BA218A" w:rsidRDefault="00833460">
      <w:pPr>
        <w:spacing w:line="560" w:lineRule="exact"/>
        <w:ind w:firstLineChars="200" w:firstLine="624"/>
        <w:rPr>
          <w:rFonts w:ascii="仿宋_GB2312" w:eastAsia="仿宋_GB2312" w:hAnsi="楷体_GB2312" w:cs="楷体_GB2312"/>
          <w:spacing w:val="-4"/>
          <w:sz w:val="32"/>
          <w:szCs w:val="32"/>
        </w:rPr>
      </w:pP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绩效目标设置需更加合理。</w:t>
      </w:r>
      <w:r>
        <w:rPr>
          <w:rFonts w:ascii="仿宋_GB2312" w:eastAsia="仿宋_GB2312" w:hAnsi="楷体_GB2312" w:cs="楷体_GB2312"/>
          <w:spacing w:val="-4"/>
          <w:sz w:val="32"/>
          <w:szCs w:val="32"/>
        </w:rPr>
        <w:t>绩效指标的设置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与</w:t>
      </w:r>
      <w:r>
        <w:rPr>
          <w:rFonts w:ascii="仿宋_GB2312" w:eastAsia="仿宋_GB2312" w:hAnsi="楷体_GB2312" w:cs="楷体_GB2312"/>
          <w:spacing w:val="-4"/>
          <w:sz w:val="32"/>
          <w:szCs w:val="32"/>
        </w:rPr>
        <w:t>实际执行完成值偏离度过大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，</w:t>
      </w:r>
      <w:r>
        <w:rPr>
          <w:rFonts w:ascii="仿宋_GB2312" w:eastAsia="仿宋_GB2312" w:hAnsi="楷体_GB2312" w:cs="楷体_GB2312"/>
          <w:spacing w:val="-4"/>
          <w:sz w:val="32"/>
          <w:szCs w:val="32"/>
        </w:rPr>
        <w:t>年度指标设置偏低</w:t>
      </w:r>
      <w:r>
        <w:rPr>
          <w:rFonts w:ascii="仿宋_GB2312" w:eastAsia="仿宋_GB2312" w:hAnsi="楷体_GB2312" w:cs="楷体_GB2312" w:hint="eastAsia"/>
          <w:spacing w:val="-4"/>
          <w:sz w:val="32"/>
          <w:szCs w:val="32"/>
        </w:rPr>
        <w:t>。</w:t>
      </w:r>
    </w:p>
    <w:p w:rsidR="00BA218A" w:rsidRDefault="00833460">
      <w:pPr>
        <w:spacing w:line="560" w:lineRule="exact"/>
        <w:ind w:firstLineChars="200" w:firstLine="640"/>
        <w:outlineLvl w:val="0"/>
        <w:rPr>
          <w:rFonts w:ascii="黑体" w:eastAsia="黑体" w:hAnsi="黑体" w:cs="黑体"/>
          <w:sz w:val="32"/>
          <w:szCs w:val="32"/>
        </w:rPr>
      </w:pPr>
      <w:bookmarkStart w:id="34" w:name="_Toc10337"/>
      <w:bookmarkStart w:id="35" w:name="_Toc23943"/>
      <w:bookmarkStart w:id="36" w:name="_Toc19466"/>
      <w:bookmarkStart w:id="37" w:name="_Toc23144"/>
      <w:r>
        <w:rPr>
          <w:rFonts w:ascii="黑体" w:eastAsia="黑体" w:hAnsi="黑体" w:cs="黑体" w:hint="eastAsia"/>
          <w:sz w:val="32"/>
          <w:szCs w:val="32"/>
        </w:rPr>
        <w:t>四、意见建议</w:t>
      </w:r>
      <w:bookmarkEnd w:id="34"/>
      <w:bookmarkEnd w:id="35"/>
      <w:bookmarkEnd w:id="36"/>
      <w:bookmarkEnd w:id="37"/>
    </w:p>
    <w:p w:rsidR="00BA218A" w:rsidRDefault="003F298D">
      <w:pPr>
        <w:pStyle w:val="ab"/>
        <w:spacing w:line="560" w:lineRule="exact"/>
        <w:ind w:firstLine="640"/>
        <w:rPr>
          <w:rFonts w:ascii="仿宋_GB2312" w:hAnsi="仿宋_GB2312" w:cs="仿宋_GB2312"/>
          <w:sz w:val="32"/>
          <w:szCs w:val="32"/>
          <w:lang w:val="en-US"/>
        </w:rPr>
      </w:pPr>
      <w:r>
        <w:rPr>
          <w:rFonts w:ascii="仿宋_GB2312" w:hAnsi="仿宋_GB2312" w:cs="仿宋_GB2312" w:hint="eastAsia"/>
          <w:sz w:val="32"/>
          <w:szCs w:val="32"/>
          <w:lang w:val="en-US"/>
        </w:rPr>
        <w:t>（一）</w:t>
      </w:r>
      <w:r w:rsidR="00833460">
        <w:rPr>
          <w:rFonts w:ascii="仿宋_GB2312" w:hAnsi="仿宋_GB2312" w:cs="仿宋_GB2312" w:hint="eastAsia"/>
          <w:sz w:val="32"/>
          <w:szCs w:val="32"/>
          <w:lang w:val="en-US"/>
        </w:rPr>
        <w:t>进一步优化绩效目标与部门职责及政策目标的衔接。绩效目标应更加紧密地契合部门发展规划与职能定位，充分体现核心职责及年度重点任务，确保与资金政策目标、用途范围、预算支出内容高度相关。同时，绩效指标的选取应聚焦于能够真实反映职责履行成效的核心指标，持续提升目标的导向性与针对性。</w:t>
      </w:r>
    </w:p>
    <w:p w:rsidR="00BA218A" w:rsidRDefault="003F298D">
      <w:pPr>
        <w:pStyle w:val="ab"/>
        <w:spacing w:line="560" w:lineRule="exact"/>
        <w:ind w:firstLine="640"/>
        <w:rPr>
          <w:rFonts w:ascii="仿宋_GB2312" w:hAnsi="仿宋_GB2312" w:cs="仿宋_GB2312"/>
          <w:sz w:val="32"/>
          <w:szCs w:val="32"/>
          <w:lang w:val="en-US"/>
        </w:rPr>
      </w:pPr>
      <w:r>
        <w:rPr>
          <w:rFonts w:ascii="仿宋_GB2312" w:hAnsi="仿宋_GB2312" w:cs="仿宋_GB2312" w:hint="eastAsia"/>
          <w:sz w:val="32"/>
          <w:szCs w:val="32"/>
          <w:lang w:val="en-US"/>
        </w:rPr>
        <w:t>（二）</w:t>
      </w:r>
      <w:r w:rsidR="00833460">
        <w:rPr>
          <w:rFonts w:ascii="仿宋_GB2312" w:hAnsi="仿宋_GB2312" w:cs="仿宋_GB2312" w:hint="eastAsia"/>
          <w:sz w:val="32"/>
          <w:szCs w:val="32"/>
          <w:lang w:val="en-US"/>
        </w:rPr>
        <w:t>科学细化绩效指标，确保可衡量、可评价。绩效指标应进一步细化、量化，增强可衡量性，同时紧密结合部门与项目的客观实际，通过科学设</w:t>
      </w:r>
      <w:bookmarkStart w:id="38" w:name="_GoBack"/>
      <w:bookmarkEnd w:id="38"/>
      <w:r w:rsidR="00833460">
        <w:rPr>
          <w:rFonts w:ascii="仿宋_GB2312" w:hAnsi="仿宋_GB2312" w:cs="仿宋_GB2312" w:hint="eastAsia"/>
          <w:sz w:val="32"/>
          <w:szCs w:val="32"/>
          <w:lang w:val="en-US"/>
        </w:rPr>
        <w:t>定指标标准与取值依据，切实提升绩效目标编制的精准度与实用性。</w:t>
      </w:r>
    </w:p>
    <w:p w:rsidR="00BA218A" w:rsidRDefault="003F298D">
      <w:pPr>
        <w:pStyle w:val="ab"/>
        <w:spacing w:line="560" w:lineRule="exact"/>
        <w:ind w:firstLine="640"/>
        <w:rPr>
          <w:sz w:val="32"/>
          <w:szCs w:val="32"/>
          <w:lang w:val="en-US"/>
        </w:rPr>
      </w:pPr>
      <w:r>
        <w:rPr>
          <w:rFonts w:ascii="仿宋_GB2312" w:hAnsi="仿宋_GB2312" w:cs="仿宋_GB2312" w:hint="eastAsia"/>
          <w:sz w:val="32"/>
          <w:szCs w:val="32"/>
          <w:lang w:val="en-US"/>
        </w:rPr>
        <w:t>（三）</w:t>
      </w:r>
      <w:r w:rsidR="00833460">
        <w:rPr>
          <w:rFonts w:ascii="仿宋_GB2312" w:hAnsi="仿宋_GB2312" w:cs="仿宋_GB2312" w:hint="eastAsia"/>
          <w:sz w:val="32"/>
          <w:szCs w:val="32"/>
          <w:lang w:val="en-US"/>
        </w:rPr>
        <w:t>科学编制绩效目标，量化设置指标值。通过收集相关计划标准、行业标准、历史标准等基准数据，作为设定目标值的参考依据。综合考虑成本和效益，绩效目标要与计划期内的任务数或计划数相适应，与预算确定的投资额或资金量相匹配，对完成任务目标具有约束力，避免目标值过高或过低，合理确定绩效指标的具体目标值。</w:t>
      </w:r>
    </w:p>
    <w:p w:rsidR="00BA218A" w:rsidRDefault="00BA218A">
      <w:pPr>
        <w:spacing w:line="560" w:lineRule="exact"/>
        <w:ind w:left="640"/>
        <w:rPr>
          <w:rFonts w:ascii="仿宋_GB2312" w:eastAsia="仿宋_GB2312" w:hAnsi="仿宋_GB2312" w:cs="仿宋_GB2312"/>
          <w:sz w:val="32"/>
          <w:szCs w:val="32"/>
        </w:rPr>
      </w:pPr>
    </w:p>
    <w:p w:rsidR="00BA218A" w:rsidRDefault="00833460" w:rsidP="003F298D">
      <w:pPr>
        <w:spacing w:line="560" w:lineRule="exact"/>
        <w:ind w:leftChars="305" w:left="1600" w:hangingChars="300" w:hanging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为民办事工作经费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单位自评抽查复核差异</w:t>
      </w:r>
      <w:r>
        <w:rPr>
          <w:rFonts w:ascii="仿宋_GB2312" w:eastAsia="仿宋_GB2312" w:hAnsi="仿宋_GB2312" w:cs="仿宋_GB2312" w:hint="eastAsia"/>
          <w:sz w:val="32"/>
          <w:szCs w:val="32"/>
        </w:rPr>
        <w:t>率统计表</w:t>
      </w:r>
    </w:p>
    <w:sectPr w:rsidR="00BA218A" w:rsidSect="00BA218A">
      <w:footerReference w:type="default" r:id="rId9"/>
      <w:pgSz w:w="11906" w:h="16838"/>
      <w:pgMar w:top="2098" w:right="1474" w:bottom="1871" w:left="1587" w:header="851" w:footer="992" w:gutter="0"/>
      <w:pgNumType w:start="1"/>
      <w:cols w:space="0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460" w:rsidRDefault="00833460" w:rsidP="00BA218A">
      <w:r>
        <w:separator/>
      </w:r>
    </w:p>
  </w:endnote>
  <w:endnote w:type="continuationSeparator" w:id="1">
    <w:p w:rsidR="00833460" w:rsidRDefault="00833460" w:rsidP="00BA2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文星简黑体">
    <w:altName w:val="黑体"/>
    <w:charset w:val="86"/>
    <w:family w:val="roma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18A" w:rsidRDefault="00BA218A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6pt;height:10.35pt;z-index:251660288;mso-wrap-style:none;mso-position-horizontal:center;mso-position-horizontal-relative:margin" o:gfxdata="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Ds&#10;NinPAAAAAwEAAA8AAAAAAAAAAQAgAAAAIgAAAGRycy9kb3ducmV2LnhtbFBLAQIUABQAAAAIAIdO&#10;4kCS/sXb8wEAAMEDAAAOAAAAAAAAAAEAIAAAAB4BAABkcnMvZTJvRG9jLnhtbFBLBQYAAAAABgAG&#10;AFkBAACDBQAAAAA=&#10;" filled="f" stroked="f">
          <v:textbox style="mso-next-textbox:#_x0000_s1026;mso-fit-shape-to-text:t" inset="0,0,0,0">
            <w:txbxContent>
              <w:p w:rsidR="00BA218A" w:rsidRDefault="00BA218A">
                <w:pPr>
                  <w:pStyle w:val="a6"/>
                  <w:rPr>
                    <w:rFonts w:eastAsia="仿宋_GB2312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833460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F298D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18A" w:rsidRDefault="00BA218A">
    <w:pPr>
      <w:pStyle w:val="a6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6145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OqXm5zwAAAAUBAAAP&#10;AAAAAAAAAAEAIAAAACIAAABkcnMvZG93bnJldi54bWxQSwECFAAUAAAACACHTuJARKK3568BAABQ&#10;AwAADgAAAAAAAAABACAAAAAeAQAAZHJzL2Uyb0RvYy54bWxQSwUGAAAAAAYABgBZAQAAPwUAAAAA&#10;" filled="f" stroked="f">
          <v:textbox style="mso-fit-shape-to-text:t" inset="0,0,0,0">
            <w:txbxContent>
              <w:sdt>
                <w:sdtPr>
                  <w:id w:val="2009340"/>
                </w:sdtPr>
                <w:sdtContent>
                  <w:p w:rsidR="00BA218A" w:rsidRDefault="00BA218A">
                    <w:pPr>
                      <w:pStyle w:val="a6"/>
                      <w:jc w:val="center"/>
                    </w:pPr>
                    <w:r w:rsidRPr="00BA218A">
                      <w:fldChar w:fldCharType="begin"/>
                    </w:r>
                    <w:r w:rsidR="00833460">
                      <w:instrText xml:space="preserve"> PAGE   \* MERGEFORMAT </w:instrText>
                    </w:r>
                    <w:r w:rsidRPr="00BA218A">
                      <w:fldChar w:fldCharType="separate"/>
                    </w:r>
                    <w:r w:rsidR="003F298D" w:rsidRPr="003F298D">
                      <w:rPr>
                        <w:noProof/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sdtContent>
              </w:sdt>
              <w:p w:rsidR="00BA218A" w:rsidRDefault="00BA218A"/>
            </w:txbxContent>
          </v:textbox>
          <w10:wrap anchorx="margin"/>
        </v:shape>
      </w:pict>
    </w:r>
  </w:p>
  <w:p w:rsidR="00BA218A" w:rsidRDefault="00BA218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460" w:rsidRDefault="00833460" w:rsidP="00BA218A">
      <w:r>
        <w:separator/>
      </w:r>
    </w:p>
  </w:footnote>
  <w:footnote w:type="continuationSeparator" w:id="1">
    <w:p w:rsidR="00833460" w:rsidRDefault="00833460" w:rsidP="00BA21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857A4"/>
    <w:multiLevelType w:val="singleLevel"/>
    <w:tmpl w:val="9D9857A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D2A4D41"/>
    <w:multiLevelType w:val="singleLevel"/>
    <w:tmpl w:val="1D2A4D4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VerticalDrawingGridEvery w:val="2"/>
  <w:noPunctuationKerning/>
  <w:characterSpacingControl w:val="compressPunctuation"/>
  <w:hdrShapeDefaults>
    <o:shapedefaults v:ext="edit" spidmax="8194"/>
    <o:shapelayout v:ext="edit">
      <o:idmap v:ext="edit" data="1,6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2C6E0A"/>
    <w:rsid w:val="F5FF58FF"/>
    <w:rsid w:val="00010727"/>
    <w:rsid w:val="00014EA2"/>
    <w:rsid w:val="0003589F"/>
    <w:rsid w:val="00043DF3"/>
    <w:rsid w:val="000563D5"/>
    <w:rsid w:val="000577B9"/>
    <w:rsid w:val="000636F9"/>
    <w:rsid w:val="0006647B"/>
    <w:rsid w:val="000737AA"/>
    <w:rsid w:val="000801F1"/>
    <w:rsid w:val="0008748A"/>
    <w:rsid w:val="0009575E"/>
    <w:rsid w:val="00095B50"/>
    <w:rsid w:val="000A40EE"/>
    <w:rsid w:val="000B1D08"/>
    <w:rsid w:val="000C3C1B"/>
    <w:rsid w:val="000D3373"/>
    <w:rsid w:val="001135BA"/>
    <w:rsid w:val="001206F0"/>
    <w:rsid w:val="0012565A"/>
    <w:rsid w:val="0015068A"/>
    <w:rsid w:val="00152A35"/>
    <w:rsid w:val="00161D22"/>
    <w:rsid w:val="00174BA7"/>
    <w:rsid w:val="00176583"/>
    <w:rsid w:val="00183181"/>
    <w:rsid w:val="0018610B"/>
    <w:rsid w:val="001B2FB5"/>
    <w:rsid w:val="001B3197"/>
    <w:rsid w:val="001D1D99"/>
    <w:rsid w:val="001E3E39"/>
    <w:rsid w:val="002048EB"/>
    <w:rsid w:val="00237242"/>
    <w:rsid w:val="002468EB"/>
    <w:rsid w:val="0026070A"/>
    <w:rsid w:val="00273295"/>
    <w:rsid w:val="002813FC"/>
    <w:rsid w:val="00283E33"/>
    <w:rsid w:val="00290E2D"/>
    <w:rsid w:val="00290F07"/>
    <w:rsid w:val="002957FC"/>
    <w:rsid w:val="0029636A"/>
    <w:rsid w:val="002A1998"/>
    <w:rsid w:val="002A1C20"/>
    <w:rsid w:val="002A61F2"/>
    <w:rsid w:val="002B51FD"/>
    <w:rsid w:val="002C3530"/>
    <w:rsid w:val="002C6E0A"/>
    <w:rsid w:val="002C7185"/>
    <w:rsid w:val="002C7FB7"/>
    <w:rsid w:val="002E5A6B"/>
    <w:rsid w:val="002F2930"/>
    <w:rsid w:val="002F544F"/>
    <w:rsid w:val="00310B92"/>
    <w:rsid w:val="00313DFD"/>
    <w:rsid w:val="00324D55"/>
    <w:rsid w:val="003517B5"/>
    <w:rsid w:val="003536DF"/>
    <w:rsid w:val="00360AFD"/>
    <w:rsid w:val="00393121"/>
    <w:rsid w:val="0039481A"/>
    <w:rsid w:val="003A6426"/>
    <w:rsid w:val="003B3CC8"/>
    <w:rsid w:val="003B79A7"/>
    <w:rsid w:val="003C2355"/>
    <w:rsid w:val="003D73C3"/>
    <w:rsid w:val="003E2EFB"/>
    <w:rsid w:val="003E6275"/>
    <w:rsid w:val="003F1160"/>
    <w:rsid w:val="003F244E"/>
    <w:rsid w:val="003F298D"/>
    <w:rsid w:val="003F3E83"/>
    <w:rsid w:val="00400287"/>
    <w:rsid w:val="00416DB7"/>
    <w:rsid w:val="0042136C"/>
    <w:rsid w:val="004227A7"/>
    <w:rsid w:val="004331AE"/>
    <w:rsid w:val="00433E27"/>
    <w:rsid w:val="00440748"/>
    <w:rsid w:val="004439C8"/>
    <w:rsid w:val="00444B55"/>
    <w:rsid w:val="00461372"/>
    <w:rsid w:val="00472B5A"/>
    <w:rsid w:val="004752CF"/>
    <w:rsid w:val="004931D3"/>
    <w:rsid w:val="004A3F52"/>
    <w:rsid w:val="004A7821"/>
    <w:rsid w:val="004B24EE"/>
    <w:rsid w:val="004B3F4D"/>
    <w:rsid w:val="004B787E"/>
    <w:rsid w:val="004C1728"/>
    <w:rsid w:val="004D59E2"/>
    <w:rsid w:val="004D64CA"/>
    <w:rsid w:val="004E0471"/>
    <w:rsid w:val="00501429"/>
    <w:rsid w:val="00502674"/>
    <w:rsid w:val="005031D7"/>
    <w:rsid w:val="00505169"/>
    <w:rsid w:val="00510185"/>
    <w:rsid w:val="00512841"/>
    <w:rsid w:val="00523A5F"/>
    <w:rsid w:val="00524F42"/>
    <w:rsid w:val="00530A97"/>
    <w:rsid w:val="0057107B"/>
    <w:rsid w:val="00571AF0"/>
    <w:rsid w:val="00571E4F"/>
    <w:rsid w:val="00573DF7"/>
    <w:rsid w:val="00581B67"/>
    <w:rsid w:val="00582EBE"/>
    <w:rsid w:val="0058412E"/>
    <w:rsid w:val="00584546"/>
    <w:rsid w:val="005A0B71"/>
    <w:rsid w:val="005A3B28"/>
    <w:rsid w:val="005B3F93"/>
    <w:rsid w:val="005C24BB"/>
    <w:rsid w:val="005C265A"/>
    <w:rsid w:val="005E02B8"/>
    <w:rsid w:val="005E24D8"/>
    <w:rsid w:val="005F5B75"/>
    <w:rsid w:val="006065EE"/>
    <w:rsid w:val="006141C7"/>
    <w:rsid w:val="006159A5"/>
    <w:rsid w:val="006172E3"/>
    <w:rsid w:val="006231C2"/>
    <w:rsid w:val="00624043"/>
    <w:rsid w:val="006319D0"/>
    <w:rsid w:val="00635C66"/>
    <w:rsid w:val="00641F0B"/>
    <w:rsid w:val="00661B5C"/>
    <w:rsid w:val="00665615"/>
    <w:rsid w:val="00670426"/>
    <w:rsid w:val="0067156B"/>
    <w:rsid w:val="00681B50"/>
    <w:rsid w:val="006A077F"/>
    <w:rsid w:val="006A15F8"/>
    <w:rsid w:val="006A55E7"/>
    <w:rsid w:val="006A759F"/>
    <w:rsid w:val="006B01FF"/>
    <w:rsid w:val="006C09BE"/>
    <w:rsid w:val="006C44BB"/>
    <w:rsid w:val="006D4355"/>
    <w:rsid w:val="006E056C"/>
    <w:rsid w:val="006E1764"/>
    <w:rsid w:val="006F1B1F"/>
    <w:rsid w:val="006F6449"/>
    <w:rsid w:val="006F760D"/>
    <w:rsid w:val="00703267"/>
    <w:rsid w:val="0070447B"/>
    <w:rsid w:val="007164AD"/>
    <w:rsid w:val="00740DAC"/>
    <w:rsid w:val="00741D32"/>
    <w:rsid w:val="00755168"/>
    <w:rsid w:val="00761E2E"/>
    <w:rsid w:val="00772A2A"/>
    <w:rsid w:val="00777A8E"/>
    <w:rsid w:val="0079762D"/>
    <w:rsid w:val="007D4A53"/>
    <w:rsid w:val="007E4C19"/>
    <w:rsid w:val="007E6ED1"/>
    <w:rsid w:val="008115C6"/>
    <w:rsid w:val="00815BD8"/>
    <w:rsid w:val="008202F9"/>
    <w:rsid w:val="0082476D"/>
    <w:rsid w:val="00832D23"/>
    <w:rsid w:val="00833460"/>
    <w:rsid w:val="00835275"/>
    <w:rsid w:val="0083688E"/>
    <w:rsid w:val="0084261B"/>
    <w:rsid w:val="00847DB7"/>
    <w:rsid w:val="008571BB"/>
    <w:rsid w:val="00887F03"/>
    <w:rsid w:val="008968AC"/>
    <w:rsid w:val="00896E17"/>
    <w:rsid w:val="008A2816"/>
    <w:rsid w:val="008B461D"/>
    <w:rsid w:val="008C7CEA"/>
    <w:rsid w:val="00901FD7"/>
    <w:rsid w:val="009043CE"/>
    <w:rsid w:val="00914EF7"/>
    <w:rsid w:val="00915DE2"/>
    <w:rsid w:val="00920952"/>
    <w:rsid w:val="00925C04"/>
    <w:rsid w:val="00925D9B"/>
    <w:rsid w:val="00926636"/>
    <w:rsid w:val="00926D7C"/>
    <w:rsid w:val="00937E9B"/>
    <w:rsid w:val="0094570E"/>
    <w:rsid w:val="00950A48"/>
    <w:rsid w:val="009556F6"/>
    <w:rsid w:val="0096180C"/>
    <w:rsid w:val="009700EC"/>
    <w:rsid w:val="00973A87"/>
    <w:rsid w:val="009A33C8"/>
    <w:rsid w:val="009A6A1D"/>
    <w:rsid w:val="009B3E81"/>
    <w:rsid w:val="009B5BDF"/>
    <w:rsid w:val="009C5F1E"/>
    <w:rsid w:val="009C5F7C"/>
    <w:rsid w:val="009C79CB"/>
    <w:rsid w:val="009D3EAB"/>
    <w:rsid w:val="009E7B34"/>
    <w:rsid w:val="00A031C5"/>
    <w:rsid w:val="00A14DF0"/>
    <w:rsid w:val="00A33A1A"/>
    <w:rsid w:val="00A60EC5"/>
    <w:rsid w:val="00A73369"/>
    <w:rsid w:val="00A86278"/>
    <w:rsid w:val="00A87A99"/>
    <w:rsid w:val="00A97BFE"/>
    <w:rsid w:val="00AA32F1"/>
    <w:rsid w:val="00AA3529"/>
    <w:rsid w:val="00AC2533"/>
    <w:rsid w:val="00AC26CB"/>
    <w:rsid w:val="00AE35FF"/>
    <w:rsid w:val="00AF01F5"/>
    <w:rsid w:val="00B012DD"/>
    <w:rsid w:val="00B01E8E"/>
    <w:rsid w:val="00B0369A"/>
    <w:rsid w:val="00B1546B"/>
    <w:rsid w:val="00B331B5"/>
    <w:rsid w:val="00B56938"/>
    <w:rsid w:val="00B56ED5"/>
    <w:rsid w:val="00B6277C"/>
    <w:rsid w:val="00B81185"/>
    <w:rsid w:val="00B93653"/>
    <w:rsid w:val="00B97B8B"/>
    <w:rsid w:val="00BA218A"/>
    <w:rsid w:val="00BB2C7E"/>
    <w:rsid w:val="00C03A2D"/>
    <w:rsid w:val="00C04675"/>
    <w:rsid w:val="00C138DD"/>
    <w:rsid w:val="00C2774E"/>
    <w:rsid w:val="00C30D74"/>
    <w:rsid w:val="00C40D02"/>
    <w:rsid w:val="00C421EA"/>
    <w:rsid w:val="00C47C34"/>
    <w:rsid w:val="00C5036C"/>
    <w:rsid w:val="00C51F4A"/>
    <w:rsid w:val="00C55705"/>
    <w:rsid w:val="00C56EBC"/>
    <w:rsid w:val="00C631EB"/>
    <w:rsid w:val="00C8087B"/>
    <w:rsid w:val="00C81CBF"/>
    <w:rsid w:val="00C8264A"/>
    <w:rsid w:val="00C835E7"/>
    <w:rsid w:val="00CA1EF1"/>
    <w:rsid w:val="00CA328F"/>
    <w:rsid w:val="00CA4E70"/>
    <w:rsid w:val="00CC1CCC"/>
    <w:rsid w:val="00CD4B33"/>
    <w:rsid w:val="00CE081E"/>
    <w:rsid w:val="00CE6A93"/>
    <w:rsid w:val="00D02460"/>
    <w:rsid w:val="00D11A07"/>
    <w:rsid w:val="00D2497C"/>
    <w:rsid w:val="00D25E00"/>
    <w:rsid w:val="00D32585"/>
    <w:rsid w:val="00D60637"/>
    <w:rsid w:val="00D64DF4"/>
    <w:rsid w:val="00D64EA0"/>
    <w:rsid w:val="00D7277D"/>
    <w:rsid w:val="00D77327"/>
    <w:rsid w:val="00D83B6C"/>
    <w:rsid w:val="00D84FA8"/>
    <w:rsid w:val="00D9039A"/>
    <w:rsid w:val="00D938B2"/>
    <w:rsid w:val="00D96C90"/>
    <w:rsid w:val="00DA7515"/>
    <w:rsid w:val="00DB01F4"/>
    <w:rsid w:val="00DC0538"/>
    <w:rsid w:val="00DC3116"/>
    <w:rsid w:val="00DD4B4E"/>
    <w:rsid w:val="00DE7148"/>
    <w:rsid w:val="00DE7A62"/>
    <w:rsid w:val="00E34CBE"/>
    <w:rsid w:val="00EA11FD"/>
    <w:rsid w:val="00EA49BF"/>
    <w:rsid w:val="00EA686A"/>
    <w:rsid w:val="00EB0908"/>
    <w:rsid w:val="00EB5F4C"/>
    <w:rsid w:val="00EC44FE"/>
    <w:rsid w:val="00EC49EF"/>
    <w:rsid w:val="00ED56AE"/>
    <w:rsid w:val="00EE095C"/>
    <w:rsid w:val="00EE13AC"/>
    <w:rsid w:val="00EE605D"/>
    <w:rsid w:val="00EF1837"/>
    <w:rsid w:val="00EF7A06"/>
    <w:rsid w:val="00EF7DB1"/>
    <w:rsid w:val="00F13BF8"/>
    <w:rsid w:val="00F22ACA"/>
    <w:rsid w:val="00F23ED9"/>
    <w:rsid w:val="00F25602"/>
    <w:rsid w:val="00F3134F"/>
    <w:rsid w:val="00F40FD6"/>
    <w:rsid w:val="00F63DDC"/>
    <w:rsid w:val="00F8452B"/>
    <w:rsid w:val="00FA54D2"/>
    <w:rsid w:val="00FA567D"/>
    <w:rsid w:val="00FA6648"/>
    <w:rsid w:val="00FB068F"/>
    <w:rsid w:val="00FC3354"/>
    <w:rsid w:val="00FC45AC"/>
    <w:rsid w:val="00FC7C71"/>
    <w:rsid w:val="015D6B2A"/>
    <w:rsid w:val="0267688D"/>
    <w:rsid w:val="02870911"/>
    <w:rsid w:val="03155B98"/>
    <w:rsid w:val="037A01B8"/>
    <w:rsid w:val="04B279D4"/>
    <w:rsid w:val="04DF17C6"/>
    <w:rsid w:val="052B0F4D"/>
    <w:rsid w:val="0550199D"/>
    <w:rsid w:val="056C0963"/>
    <w:rsid w:val="05BD4723"/>
    <w:rsid w:val="07646DE7"/>
    <w:rsid w:val="080E30EF"/>
    <w:rsid w:val="09F04623"/>
    <w:rsid w:val="0ABC43F9"/>
    <w:rsid w:val="0ADF7419"/>
    <w:rsid w:val="0B491872"/>
    <w:rsid w:val="0D903025"/>
    <w:rsid w:val="0EA165E3"/>
    <w:rsid w:val="0EF04EC5"/>
    <w:rsid w:val="10080393"/>
    <w:rsid w:val="103D1135"/>
    <w:rsid w:val="12202D6C"/>
    <w:rsid w:val="12412140"/>
    <w:rsid w:val="124327EE"/>
    <w:rsid w:val="12FD4E8E"/>
    <w:rsid w:val="13952316"/>
    <w:rsid w:val="1469418D"/>
    <w:rsid w:val="14D95941"/>
    <w:rsid w:val="15826171"/>
    <w:rsid w:val="175E300E"/>
    <w:rsid w:val="178D1F65"/>
    <w:rsid w:val="1A3C42E1"/>
    <w:rsid w:val="1B354396"/>
    <w:rsid w:val="1B3D683B"/>
    <w:rsid w:val="1B625380"/>
    <w:rsid w:val="1C57189A"/>
    <w:rsid w:val="1D285695"/>
    <w:rsid w:val="1D2D74A9"/>
    <w:rsid w:val="1E5B1196"/>
    <w:rsid w:val="1F162B03"/>
    <w:rsid w:val="1FFB048E"/>
    <w:rsid w:val="21125231"/>
    <w:rsid w:val="214C265F"/>
    <w:rsid w:val="21A47D8E"/>
    <w:rsid w:val="21C8576E"/>
    <w:rsid w:val="21CB0B0B"/>
    <w:rsid w:val="22D84689"/>
    <w:rsid w:val="22E23BA3"/>
    <w:rsid w:val="232A42A8"/>
    <w:rsid w:val="237B0B06"/>
    <w:rsid w:val="23CA1FC4"/>
    <w:rsid w:val="25547F56"/>
    <w:rsid w:val="26AC04E2"/>
    <w:rsid w:val="26F51708"/>
    <w:rsid w:val="27714360"/>
    <w:rsid w:val="2A9A7CB3"/>
    <w:rsid w:val="2B374532"/>
    <w:rsid w:val="2B7E5FC0"/>
    <w:rsid w:val="2BAA6B11"/>
    <w:rsid w:val="2D113951"/>
    <w:rsid w:val="2DE86C6E"/>
    <w:rsid w:val="2E281AEC"/>
    <w:rsid w:val="2F0A4535"/>
    <w:rsid w:val="2F2551EC"/>
    <w:rsid w:val="2F3822B1"/>
    <w:rsid w:val="2F610930"/>
    <w:rsid w:val="2F9E1C45"/>
    <w:rsid w:val="2FAC25A0"/>
    <w:rsid w:val="2FC50F33"/>
    <w:rsid w:val="2FDF2C8D"/>
    <w:rsid w:val="2FF20302"/>
    <w:rsid w:val="2FF7475A"/>
    <w:rsid w:val="302745E4"/>
    <w:rsid w:val="30FC7E10"/>
    <w:rsid w:val="31F51B43"/>
    <w:rsid w:val="32CC548D"/>
    <w:rsid w:val="32E97D8A"/>
    <w:rsid w:val="330F0462"/>
    <w:rsid w:val="33127246"/>
    <w:rsid w:val="332D3382"/>
    <w:rsid w:val="33F8024A"/>
    <w:rsid w:val="35247266"/>
    <w:rsid w:val="365D2844"/>
    <w:rsid w:val="38197B9E"/>
    <w:rsid w:val="38B42E51"/>
    <w:rsid w:val="39082401"/>
    <w:rsid w:val="39CD7C90"/>
    <w:rsid w:val="39CF53D1"/>
    <w:rsid w:val="3A9F22C2"/>
    <w:rsid w:val="3AAF0167"/>
    <w:rsid w:val="3AE34A17"/>
    <w:rsid w:val="3BAE1B1B"/>
    <w:rsid w:val="3CBE2CE1"/>
    <w:rsid w:val="3D9F63B3"/>
    <w:rsid w:val="3E4B5DA1"/>
    <w:rsid w:val="3E7B7458"/>
    <w:rsid w:val="3EB428C3"/>
    <w:rsid w:val="3EF65C0B"/>
    <w:rsid w:val="3F272BF3"/>
    <w:rsid w:val="3F5D58D7"/>
    <w:rsid w:val="3F5FC4BB"/>
    <w:rsid w:val="3F735962"/>
    <w:rsid w:val="3FE95C21"/>
    <w:rsid w:val="40026FFD"/>
    <w:rsid w:val="41000C7A"/>
    <w:rsid w:val="41E1394C"/>
    <w:rsid w:val="420425F2"/>
    <w:rsid w:val="421524D4"/>
    <w:rsid w:val="422C35B8"/>
    <w:rsid w:val="427B0CF1"/>
    <w:rsid w:val="431F553A"/>
    <w:rsid w:val="43CC61A6"/>
    <w:rsid w:val="43ED0473"/>
    <w:rsid w:val="4409111F"/>
    <w:rsid w:val="46191AFA"/>
    <w:rsid w:val="473D413F"/>
    <w:rsid w:val="475844C0"/>
    <w:rsid w:val="47A23DCF"/>
    <w:rsid w:val="47D223C0"/>
    <w:rsid w:val="48C844AD"/>
    <w:rsid w:val="48CC0F4C"/>
    <w:rsid w:val="492D5DC1"/>
    <w:rsid w:val="4A061863"/>
    <w:rsid w:val="4AE85167"/>
    <w:rsid w:val="4B4810C0"/>
    <w:rsid w:val="4BBA3DCF"/>
    <w:rsid w:val="4BD45F6D"/>
    <w:rsid w:val="4C8E53B2"/>
    <w:rsid w:val="4D611793"/>
    <w:rsid w:val="4E060B7F"/>
    <w:rsid w:val="4ED202BE"/>
    <w:rsid w:val="4F6B0D1B"/>
    <w:rsid w:val="4FAA647E"/>
    <w:rsid w:val="4FE03DC4"/>
    <w:rsid w:val="4FF5173A"/>
    <w:rsid w:val="51046304"/>
    <w:rsid w:val="51DE085F"/>
    <w:rsid w:val="521F6CFF"/>
    <w:rsid w:val="529C5C4F"/>
    <w:rsid w:val="54C62619"/>
    <w:rsid w:val="56687704"/>
    <w:rsid w:val="5712282D"/>
    <w:rsid w:val="59D800F7"/>
    <w:rsid w:val="59F21B57"/>
    <w:rsid w:val="59FFA87E"/>
    <w:rsid w:val="5A745763"/>
    <w:rsid w:val="5AD9207B"/>
    <w:rsid w:val="5B8D6070"/>
    <w:rsid w:val="5CEB1CAA"/>
    <w:rsid w:val="5D640436"/>
    <w:rsid w:val="5D782258"/>
    <w:rsid w:val="5E143576"/>
    <w:rsid w:val="5F3C14CE"/>
    <w:rsid w:val="5F9B20D6"/>
    <w:rsid w:val="5FBB6B27"/>
    <w:rsid w:val="5FC41423"/>
    <w:rsid w:val="5FC8486C"/>
    <w:rsid w:val="5FF71689"/>
    <w:rsid w:val="613B6954"/>
    <w:rsid w:val="61D6427A"/>
    <w:rsid w:val="61F3446A"/>
    <w:rsid w:val="627827B6"/>
    <w:rsid w:val="628B6808"/>
    <w:rsid w:val="63E07A4B"/>
    <w:rsid w:val="65F9705B"/>
    <w:rsid w:val="66500518"/>
    <w:rsid w:val="66612F82"/>
    <w:rsid w:val="668805B0"/>
    <w:rsid w:val="66F414C0"/>
    <w:rsid w:val="677F7C97"/>
    <w:rsid w:val="686178C3"/>
    <w:rsid w:val="69575426"/>
    <w:rsid w:val="699E327A"/>
    <w:rsid w:val="69D321B0"/>
    <w:rsid w:val="69E7297B"/>
    <w:rsid w:val="6A2302A6"/>
    <w:rsid w:val="6B492EB8"/>
    <w:rsid w:val="6B5D2645"/>
    <w:rsid w:val="6C147D85"/>
    <w:rsid w:val="6DC203D1"/>
    <w:rsid w:val="6EB446F7"/>
    <w:rsid w:val="6EF94790"/>
    <w:rsid w:val="6F2621DB"/>
    <w:rsid w:val="70F765A9"/>
    <w:rsid w:val="710C31C0"/>
    <w:rsid w:val="729448F9"/>
    <w:rsid w:val="72CD2363"/>
    <w:rsid w:val="72E83AAB"/>
    <w:rsid w:val="73A47383"/>
    <w:rsid w:val="74370D0F"/>
    <w:rsid w:val="74606462"/>
    <w:rsid w:val="74AD7722"/>
    <w:rsid w:val="75060144"/>
    <w:rsid w:val="77771CF3"/>
    <w:rsid w:val="78780E3A"/>
    <w:rsid w:val="798D6117"/>
    <w:rsid w:val="79A71A1B"/>
    <w:rsid w:val="7A9B7953"/>
    <w:rsid w:val="7AE13552"/>
    <w:rsid w:val="7B574551"/>
    <w:rsid w:val="7E7F12A1"/>
    <w:rsid w:val="7F3C317E"/>
    <w:rsid w:val="7FAB6AA8"/>
    <w:rsid w:val="7FAF32BE"/>
    <w:rsid w:val="7FFA1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7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218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BA218A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nhideWhenUsed/>
    <w:qFormat/>
    <w:rsid w:val="00BA218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BA218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sid w:val="00BA218A"/>
    <w:rPr>
      <w:rFonts w:ascii="宋体" w:eastAsia="宋体"/>
      <w:sz w:val="18"/>
      <w:szCs w:val="18"/>
    </w:rPr>
  </w:style>
  <w:style w:type="paragraph" w:styleId="a4">
    <w:name w:val="Date"/>
    <w:basedOn w:val="a"/>
    <w:next w:val="a"/>
    <w:link w:val="Char0"/>
    <w:qFormat/>
    <w:rsid w:val="00BA218A"/>
    <w:pPr>
      <w:ind w:leftChars="2500" w:left="100"/>
    </w:pPr>
  </w:style>
  <w:style w:type="paragraph" w:styleId="a5">
    <w:name w:val="Balloon Text"/>
    <w:basedOn w:val="a"/>
    <w:link w:val="Char1"/>
    <w:qFormat/>
    <w:rsid w:val="00BA218A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BA21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qFormat/>
    <w:rsid w:val="00BA21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BA218A"/>
    <w:pPr>
      <w:snapToGrid w:val="0"/>
      <w:spacing w:line="640" w:lineRule="exact"/>
      <w:ind w:firstLine="705"/>
    </w:pPr>
    <w:rPr>
      <w:rFonts w:ascii="仿宋_GB2312" w:eastAsia="仿宋_GB2312" w:hAnsi="Calibri" w:cs="Times New Roman"/>
      <w:color w:val="000000"/>
      <w:sz w:val="36"/>
      <w:szCs w:val="36"/>
    </w:rPr>
  </w:style>
  <w:style w:type="paragraph" w:styleId="20">
    <w:name w:val="toc 2"/>
    <w:basedOn w:val="a"/>
    <w:next w:val="a"/>
    <w:uiPriority w:val="39"/>
    <w:qFormat/>
    <w:rsid w:val="00BA218A"/>
    <w:pPr>
      <w:ind w:leftChars="200" w:left="420"/>
    </w:pPr>
    <w:rPr>
      <w:rFonts w:ascii="Times New Roman" w:eastAsia="仿宋_GB2312" w:hAnsi="Times New Roman" w:cs="Times New Roman"/>
      <w:sz w:val="30"/>
    </w:rPr>
  </w:style>
  <w:style w:type="table" w:styleId="a8">
    <w:name w:val="Table Grid"/>
    <w:basedOn w:val="a1"/>
    <w:qFormat/>
    <w:rsid w:val="00BA21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qFormat/>
    <w:rsid w:val="00BA218A"/>
    <w:rPr>
      <w:color w:val="333333"/>
      <w:u w:val="none"/>
    </w:rPr>
  </w:style>
  <w:style w:type="paragraph" w:customStyle="1" w:styleId="11">
    <w:name w:val="列出段落1"/>
    <w:basedOn w:val="a"/>
    <w:uiPriority w:val="34"/>
    <w:unhideWhenUsed/>
    <w:qFormat/>
    <w:rsid w:val="00BA218A"/>
    <w:pPr>
      <w:ind w:firstLineChars="200" w:firstLine="420"/>
    </w:pPr>
  </w:style>
  <w:style w:type="character" w:customStyle="1" w:styleId="Char3">
    <w:name w:val="页眉 Char"/>
    <w:basedOn w:val="a0"/>
    <w:link w:val="a7"/>
    <w:qFormat/>
    <w:rsid w:val="00BA218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BA218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日期 Char"/>
    <w:basedOn w:val="a0"/>
    <w:link w:val="a4"/>
    <w:qFormat/>
    <w:rsid w:val="00BA218A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">
    <w:name w:val="文档结构图 Char"/>
    <w:basedOn w:val="a0"/>
    <w:link w:val="a3"/>
    <w:qFormat/>
    <w:rsid w:val="00BA218A"/>
    <w:rPr>
      <w:rFonts w:ascii="宋体" w:hAnsiTheme="minorHAnsi" w:cstheme="minorBidi"/>
      <w:kern w:val="2"/>
      <w:sz w:val="18"/>
      <w:szCs w:val="18"/>
    </w:rPr>
  </w:style>
  <w:style w:type="character" w:customStyle="1" w:styleId="Char1">
    <w:name w:val="批注框文本 Char"/>
    <w:basedOn w:val="a0"/>
    <w:link w:val="a5"/>
    <w:qFormat/>
    <w:rsid w:val="00BA218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link w:val="2"/>
    <w:semiHidden/>
    <w:qFormat/>
    <w:rsid w:val="00BA218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semiHidden/>
    <w:qFormat/>
    <w:rsid w:val="00BA218A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customStyle="1" w:styleId="12">
    <w:name w:val="修订1"/>
    <w:hidden/>
    <w:uiPriority w:val="99"/>
    <w:unhideWhenUsed/>
    <w:qFormat/>
    <w:rsid w:val="00BA218A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a">
    <w:name w:val="List Paragraph"/>
    <w:basedOn w:val="a"/>
    <w:uiPriority w:val="99"/>
    <w:unhideWhenUsed/>
    <w:qFormat/>
    <w:rsid w:val="00BA218A"/>
    <w:pPr>
      <w:ind w:firstLineChars="200" w:firstLine="420"/>
    </w:pPr>
  </w:style>
  <w:style w:type="paragraph" w:customStyle="1" w:styleId="ab">
    <w:name w:val="闻政正文"/>
    <w:basedOn w:val="a"/>
    <w:qFormat/>
    <w:rsid w:val="00BA218A"/>
    <w:pPr>
      <w:spacing w:line="500" w:lineRule="exact"/>
      <w:ind w:firstLineChars="200" w:firstLine="200"/>
    </w:pPr>
    <w:rPr>
      <w:rFonts w:eastAsia="仿宋_GB2312"/>
      <w:kern w:val="0"/>
      <w:sz w:val="28"/>
      <w:szCs w:val="28"/>
      <w:lang w:val="zh-CN"/>
    </w:rPr>
  </w:style>
  <w:style w:type="character" w:customStyle="1" w:styleId="chyChar">
    <w:name w:val="chy报告正文 Char"/>
    <w:link w:val="chy"/>
    <w:qFormat/>
    <w:rsid w:val="00BA218A"/>
    <w:rPr>
      <w:rFonts w:ascii="宋体" w:eastAsia="仿宋_GB2312" w:hAnsi="宋体"/>
      <w:kern w:val="0"/>
      <w:sz w:val="32"/>
      <w:szCs w:val="28"/>
    </w:rPr>
  </w:style>
  <w:style w:type="paragraph" w:customStyle="1" w:styleId="chy">
    <w:name w:val="chy报告正文"/>
    <w:basedOn w:val="a"/>
    <w:next w:val="a"/>
    <w:link w:val="chyChar"/>
    <w:qFormat/>
    <w:rsid w:val="00BA218A"/>
    <w:pPr>
      <w:spacing w:line="560" w:lineRule="exact"/>
      <w:ind w:firstLineChars="200" w:firstLine="200"/>
    </w:pPr>
    <w:rPr>
      <w:rFonts w:ascii="宋体" w:eastAsia="仿宋_GB2312" w:hAnsi="宋体"/>
      <w:kern w:val="0"/>
      <w:sz w:val="3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9</Pages>
  <Words>575</Words>
  <Characters>3282</Characters>
  <Application>Microsoft Office Word</Application>
  <DocSecurity>0</DocSecurity>
  <Lines>27</Lines>
  <Paragraphs>7</Paragraphs>
  <ScaleCrop>false</ScaleCrop>
  <Company>Microsoft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2021-10-08T02:21:00Z</cp:lastPrinted>
  <dcterms:created xsi:type="dcterms:W3CDTF">2023-06-16T03:24:00Z</dcterms:created>
  <dcterms:modified xsi:type="dcterms:W3CDTF">2026-07-03T07:08:00Z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C44F5BD7EB7644668716488F121D35FB_13</vt:lpwstr>
  </property>
  <property fmtid="{D5CDD505-2E9C-101B-9397-08002B2CF9AE}" pid="4" name="KSOTemplateDocerSaveRecord">
    <vt:lpwstr>eyJoZGlkIjoiMjRmOTQ1MDAwZDI3YWE1NmYwNDMyZjA4NzJmZTQ4ZTgiLCJ1c2VySWQiOiI1NTExMzk2NDgifQ==</vt:lpwstr>
  </property>
</Properties>
</file>