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left="880" w:hanging="880"/>
        <w:jc w:val="center"/>
        <w:rPr>
          <w:rFonts w:ascii="方正小标宋简体" w:hAnsi="方正小标宋简体" w:eastAsia="方正小标宋简体" w:cs="方正小标宋简体"/>
          <w:bCs/>
          <w:sz w:val="44"/>
          <w:szCs w:val="44"/>
        </w:rPr>
      </w:pPr>
    </w:p>
    <w:p>
      <w:pPr>
        <w:spacing w:line="520" w:lineRule="exact"/>
        <w:ind w:left="880" w:hanging="880"/>
        <w:jc w:val="center"/>
        <w:rPr>
          <w:rFonts w:ascii="方正小标宋简体" w:hAnsi="方正小标宋简体" w:eastAsia="方正小标宋简体" w:cs="方正小标宋简体"/>
          <w:bCs/>
          <w:sz w:val="44"/>
          <w:szCs w:val="44"/>
        </w:rPr>
      </w:pPr>
    </w:p>
    <w:p>
      <w:pPr>
        <w:spacing w:line="520" w:lineRule="exact"/>
        <w:ind w:left="880" w:hanging="880"/>
        <w:jc w:val="center"/>
        <w:rPr>
          <w:rFonts w:ascii="方正小标宋_GBK" w:eastAsia="方正小标宋_GBK" w:cs="文星简黑体"/>
          <w:sz w:val="44"/>
          <w:szCs w:val="44"/>
        </w:rPr>
      </w:pPr>
      <w:r>
        <w:rPr>
          <w:rFonts w:hint="eastAsia" w:ascii="方正小标宋简体" w:hAnsi="方正小标宋简体" w:eastAsia="方正小标宋简体" w:cs="方正小标宋简体"/>
          <w:bCs/>
          <w:sz w:val="44"/>
          <w:szCs w:val="44"/>
          <w:lang w:val="en-US" w:eastAsia="zh-CN"/>
        </w:rPr>
        <w:t>2025</w:t>
      </w:r>
      <w:r>
        <w:rPr>
          <w:rFonts w:hint="eastAsia" w:ascii="方正小标宋简体" w:hAnsi="方正小标宋简体" w:eastAsia="方正小标宋简体" w:cs="方正小标宋简体"/>
          <w:bCs/>
          <w:sz w:val="44"/>
          <w:szCs w:val="44"/>
        </w:rPr>
        <w:t>年度计算机中心及档案管理平台运维费等资金绩效自评抽查复核报告</w:t>
      </w:r>
    </w:p>
    <w:p>
      <w:pPr>
        <w:spacing w:line="520" w:lineRule="exact"/>
        <w:ind w:left="1040" w:hanging="1040"/>
        <w:jc w:val="right"/>
        <w:rPr>
          <w:rFonts w:ascii="文星简黑体" w:eastAsia="文星简黑体"/>
          <w:sz w:val="52"/>
          <w:szCs w:val="52"/>
        </w:rPr>
      </w:pPr>
    </w:p>
    <w:p>
      <w:pPr>
        <w:spacing w:line="520" w:lineRule="exact"/>
        <w:ind w:left="1040" w:hanging="1040"/>
        <w:jc w:val="center"/>
        <w:rPr>
          <w:rFonts w:ascii="文星简黑体" w:eastAsia="文星简黑体"/>
          <w:sz w:val="52"/>
          <w:szCs w:val="52"/>
        </w:rPr>
      </w:pPr>
    </w:p>
    <w:p>
      <w:pPr>
        <w:pStyle w:val="17"/>
      </w:pPr>
    </w:p>
    <w:p>
      <w:pPr>
        <w:pStyle w:val="17"/>
      </w:pPr>
    </w:p>
    <w:p>
      <w:pPr>
        <w:pStyle w:val="17"/>
      </w:pPr>
    </w:p>
    <w:p>
      <w:pPr>
        <w:pStyle w:val="17"/>
      </w:pPr>
    </w:p>
    <w:p>
      <w:pPr>
        <w:pStyle w:val="17"/>
      </w:pPr>
    </w:p>
    <w:p>
      <w:pPr>
        <w:pStyle w:val="17"/>
      </w:pPr>
    </w:p>
    <w:p>
      <w:pPr>
        <w:pStyle w:val="17"/>
        <w:ind w:firstLine="1040"/>
        <w:rPr>
          <w:rFonts w:ascii="文星简黑体" w:eastAsia="文星简黑体"/>
          <w:sz w:val="52"/>
          <w:szCs w:val="52"/>
        </w:rPr>
      </w:pPr>
    </w:p>
    <w:p>
      <w:pPr>
        <w:pStyle w:val="17"/>
        <w:ind w:firstLine="1040"/>
        <w:rPr>
          <w:rFonts w:ascii="文星简黑体" w:eastAsia="文星简黑体"/>
          <w:sz w:val="52"/>
          <w:szCs w:val="52"/>
        </w:rPr>
      </w:pPr>
    </w:p>
    <w:p>
      <w:pPr>
        <w:pStyle w:val="17"/>
        <w:ind w:firstLine="1040"/>
        <w:rPr>
          <w:rFonts w:ascii="文星简黑体" w:eastAsia="文星简黑体"/>
          <w:sz w:val="52"/>
          <w:szCs w:val="52"/>
        </w:rPr>
      </w:pPr>
    </w:p>
    <w:p>
      <w:pPr>
        <w:pStyle w:val="17"/>
        <w:ind w:firstLine="1040"/>
        <w:rPr>
          <w:rFonts w:ascii="文星简黑体" w:eastAsia="文星简黑体"/>
          <w:sz w:val="52"/>
          <w:szCs w:val="52"/>
        </w:rPr>
      </w:pPr>
    </w:p>
    <w:p>
      <w:pPr>
        <w:spacing w:line="520" w:lineRule="exact"/>
        <w:ind w:left="1040" w:hanging="1040"/>
        <w:jc w:val="center"/>
        <w:rPr>
          <w:rFonts w:ascii="文星简黑体" w:eastAsia="文星简黑体"/>
          <w:sz w:val="52"/>
          <w:szCs w:val="52"/>
        </w:rPr>
      </w:pPr>
    </w:p>
    <w:p>
      <w:pPr>
        <w:spacing w:before="120" w:after="120" w:line="520" w:lineRule="exact"/>
        <w:ind w:left="640" w:hanging="640"/>
        <w:rPr>
          <w:rFonts w:hint="eastAsia" w:ascii="黑体" w:hAnsi="黑体" w:eastAsia="黑体"/>
          <w:sz w:val="32"/>
          <w:szCs w:val="32"/>
          <w:lang w:val="en-US" w:eastAsia="zh-CN"/>
        </w:rPr>
      </w:pPr>
      <w:r>
        <w:rPr>
          <w:rFonts w:hint="eastAsia" w:ascii="黑体" w:hAnsi="黑体" w:eastAsia="黑体" w:cs="文星简黑体"/>
          <w:spacing w:val="53"/>
          <w:kern w:val="0"/>
          <w:sz w:val="32"/>
          <w:szCs w:val="32"/>
        </w:rPr>
        <w:t>委托单</w:t>
      </w:r>
      <w:r>
        <w:rPr>
          <w:rFonts w:hint="eastAsia" w:ascii="黑体" w:hAnsi="黑体" w:eastAsia="黑体" w:cs="文星简黑体"/>
          <w:spacing w:val="1"/>
          <w:kern w:val="0"/>
          <w:sz w:val="32"/>
          <w:szCs w:val="32"/>
        </w:rPr>
        <w:t>位</w:t>
      </w:r>
      <w:r>
        <w:rPr>
          <w:rFonts w:hint="eastAsia" w:ascii="黑体" w:hAnsi="黑体" w:eastAsia="黑体" w:cs="文星简黑体"/>
          <w:sz w:val="32"/>
          <w:szCs w:val="32"/>
        </w:rPr>
        <w:t>：</w:t>
      </w:r>
      <w:r>
        <w:rPr>
          <w:rFonts w:ascii="黑体" w:hAnsi="黑体" w:eastAsia="黑体"/>
          <w:sz w:val="32"/>
          <w:szCs w:val="32"/>
        </w:rPr>
        <w:t>青岛西海岸新区</w:t>
      </w:r>
      <w:r>
        <w:rPr>
          <w:rFonts w:hint="eastAsia" w:ascii="黑体" w:hAnsi="黑体" w:eastAsia="黑体"/>
          <w:sz w:val="32"/>
          <w:szCs w:val="32"/>
          <w:lang w:val="en-US" w:eastAsia="zh-CN"/>
        </w:rPr>
        <w:t>财政局</w:t>
      </w:r>
    </w:p>
    <w:p>
      <w:pPr>
        <w:spacing w:before="120" w:after="120" w:line="520" w:lineRule="exact"/>
        <w:ind w:left="2240" w:hanging="2240" w:hangingChars="700"/>
        <w:rPr>
          <w:rFonts w:ascii="黑体" w:hAnsi="黑体" w:eastAsia="黑体"/>
          <w:sz w:val="32"/>
          <w:szCs w:val="32"/>
        </w:rPr>
      </w:pPr>
      <w:r>
        <w:rPr>
          <w:rFonts w:hint="eastAsia" w:ascii="黑体" w:hAnsi="黑体" w:eastAsia="黑体" w:cs="文星简黑体"/>
          <w:sz w:val="32"/>
          <w:szCs w:val="32"/>
        </w:rPr>
        <w:t>被评价单位：</w:t>
      </w:r>
      <w:r>
        <w:rPr>
          <w:rFonts w:ascii="黑体" w:hAnsi="黑体" w:eastAsia="黑体"/>
          <w:sz w:val="32"/>
          <w:szCs w:val="32"/>
        </w:rPr>
        <w:t xml:space="preserve">青岛西海岸新区档案馆 </w:t>
      </w:r>
    </w:p>
    <w:p>
      <w:pPr>
        <w:spacing w:before="120" w:after="120" w:line="520" w:lineRule="exact"/>
        <w:ind w:left="640" w:hanging="640"/>
        <w:rPr>
          <w:rFonts w:ascii="黑体" w:hAnsi="黑体" w:eastAsia="黑体"/>
          <w:sz w:val="32"/>
          <w:szCs w:val="32"/>
        </w:rPr>
      </w:pPr>
      <w:r>
        <w:rPr>
          <w:rFonts w:hint="eastAsia" w:ascii="黑体" w:hAnsi="黑体" w:eastAsia="黑体" w:cs="文星简黑体"/>
          <w:spacing w:val="53"/>
          <w:kern w:val="0"/>
          <w:sz w:val="32"/>
          <w:szCs w:val="32"/>
        </w:rPr>
        <w:t>评价机</w:t>
      </w:r>
      <w:r>
        <w:rPr>
          <w:rFonts w:hint="eastAsia" w:ascii="黑体" w:hAnsi="黑体" w:eastAsia="黑体" w:cs="文星简黑体"/>
          <w:spacing w:val="1"/>
          <w:kern w:val="0"/>
          <w:sz w:val="32"/>
          <w:szCs w:val="32"/>
        </w:rPr>
        <w:t>构</w:t>
      </w:r>
      <w:r>
        <w:rPr>
          <w:rFonts w:hint="eastAsia" w:ascii="黑体" w:hAnsi="黑体" w:eastAsia="黑体" w:cs="文星简黑体"/>
          <w:sz w:val="32"/>
          <w:szCs w:val="32"/>
        </w:rPr>
        <w:t>：</w:t>
      </w:r>
      <w:r>
        <w:rPr>
          <w:rFonts w:ascii="黑体" w:hAnsi="黑体" w:eastAsia="黑体"/>
          <w:sz w:val="32"/>
          <w:szCs w:val="32"/>
        </w:rPr>
        <w:t>青岛西海岸新区</w:t>
      </w:r>
      <w:r>
        <w:rPr>
          <w:rFonts w:hint="eastAsia" w:ascii="黑体" w:hAnsi="黑体" w:eastAsia="黑体"/>
          <w:sz w:val="32"/>
          <w:szCs w:val="32"/>
          <w:lang w:val="en-US" w:eastAsia="zh-CN"/>
        </w:rPr>
        <w:t>财政局</w:t>
      </w:r>
    </w:p>
    <w:p>
      <w:pPr>
        <w:spacing w:before="120" w:after="120" w:line="520" w:lineRule="exact"/>
        <w:ind w:left="640" w:hanging="640"/>
        <w:jc w:val="left"/>
        <w:rPr>
          <w:rFonts w:ascii="黑体" w:hAnsi="黑体" w:eastAsia="黑体"/>
          <w:sz w:val="32"/>
          <w:szCs w:val="32"/>
        </w:rPr>
      </w:pPr>
    </w:p>
    <w:p>
      <w:pPr>
        <w:spacing w:before="120" w:after="120"/>
        <w:jc w:val="center"/>
        <w:rPr>
          <w:rFonts w:ascii="黑体" w:hAnsi="黑体" w:eastAsia="黑体" w:cs="文星简黑体"/>
          <w:sz w:val="32"/>
          <w:szCs w:val="32"/>
        </w:rPr>
      </w:pPr>
    </w:p>
    <w:p>
      <w:pPr>
        <w:spacing w:before="120" w:after="120"/>
        <w:jc w:val="center"/>
        <w:rPr>
          <w:rFonts w:ascii="黑体" w:hAnsi="黑体" w:eastAsia="黑体" w:cs="文星简黑体"/>
          <w:sz w:val="32"/>
          <w:szCs w:val="32"/>
          <w:highlight w:val="none"/>
        </w:rPr>
      </w:pPr>
      <w:r>
        <w:rPr>
          <w:rFonts w:hint="eastAsia" w:ascii="黑体" w:hAnsi="黑体" w:eastAsia="黑体" w:cs="文星简黑体"/>
          <w:sz w:val="32"/>
          <w:szCs w:val="32"/>
          <w:highlight w:val="none"/>
        </w:rPr>
        <w:t>202</w:t>
      </w:r>
      <w:r>
        <w:rPr>
          <w:rFonts w:hint="eastAsia" w:ascii="黑体" w:hAnsi="黑体" w:eastAsia="黑体" w:cs="文星简黑体"/>
          <w:sz w:val="32"/>
          <w:szCs w:val="32"/>
          <w:highlight w:val="none"/>
          <w:lang w:val="en-US" w:eastAsia="zh-CN"/>
        </w:rPr>
        <w:t>6</w:t>
      </w:r>
      <w:r>
        <w:rPr>
          <w:rFonts w:hint="eastAsia" w:ascii="黑体" w:hAnsi="黑体" w:eastAsia="黑体" w:cs="文星简黑体"/>
          <w:sz w:val="32"/>
          <w:szCs w:val="32"/>
          <w:highlight w:val="none"/>
        </w:rPr>
        <w:t xml:space="preserve">年 </w:t>
      </w:r>
      <w:r>
        <w:rPr>
          <w:rFonts w:hint="eastAsia" w:ascii="黑体" w:hAnsi="黑体" w:eastAsia="黑体" w:cs="文星简黑体"/>
          <w:sz w:val="32"/>
          <w:szCs w:val="32"/>
          <w:highlight w:val="none"/>
          <w:lang w:val="en-US" w:eastAsia="zh-CN"/>
        </w:rPr>
        <w:t>6</w:t>
      </w:r>
      <w:r>
        <w:rPr>
          <w:rFonts w:hint="eastAsia" w:ascii="黑体" w:hAnsi="黑体" w:eastAsia="黑体" w:cs="文星简黑体"/>
          <w:sz w:val="32"/>
          <w:szCs w:val="32"/>
          <w:highlight w:val="none"/>
        </w:rPr>
        <w:t>月</w:t>
      </w:r>
    </w:p>
    <w:p>
      <w:pPr>
        <w:adjustRightInd w:val="0"/>
        <w:snapToGrid w:val="0"/>
        <w:spacing w:line="360" w:lineRule="auto"/>
        <w:jc w:val="center"/>
        <w:rPr>
          <w:rFonts w:ascii="黑体" w:hAnsi="黑体" w:eastAsia="黑体" w:cs="黑体"/>
          <w:sz w:val="32"/>
          <w:szCs w:val="32"/>
        </w:rPr>
      </w:pPr>
    </w:p>
    <w:p>
      <w:pPr>
        <w:adjustRightInd w:val="0"/>
        <w:snapToGrid w:val="0"/>
        <w:spacing w:line="360" w:lineRule="auto"/>
        <w:ind w:left="880" w:hanging="880"/>
        <w:jc w:val="center"/>
        <w:rPr>
          <w:rFonts w:ascii="方正小标宋简体" w:hAnsi="方正小标宋简体" w:eastAsia="方正小标宋简体" w:cs="方正小标宋简体"/>
          <w:bCs/>
          <w:sz w:val="44"/>
          <w:szCs w:val="44"/>
        </w:rPr>
      </w:pPr>
    </w:p>
    <w:p>
      <w:pPr>
        <w:adjustRightInd w:val="0"/>
        <w:snapToGrid w:val="0"/>
        <w:spacing w:line="360" w:lineRule="auto"/>
        <w:ind w:left="880" w:hanging="880"/>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目  录</w:t>
      </w:r>
    </w:p>
    <w:p>
      <w:pPr>
        <w:pStyle w:val="10"/>
        <w:tabs>
          <w:tab w:val="right" w:leader="dot" w:pos="8306"/>
        </w:tabs>
        <w:adjustRightInd w:val="0"/>
        <w:spacing w:line="360" w:lineRule="auto"/>
        <w:rPr>
          <w:sz w:val="32"/>
          <w:szCs w:val="32"/>
        </w:rPr>
      </w:pPr>
      <w:r>
        <w:rPr>
          <w:rFonts w:ascii="Times New Roman" w:hAnsi="Times New Roman" w:eastAsia="宋体"/>
          <w:sz w:val="32"/>
          <w:szCs w:val="32"/>
        </w:rPr>
        <w:fldChar w:fldCharType="begin"/>
      </w:r>
      <w:r>
        <w:rPr>
          <w:rFonts w:ascii="Times New Roman" w:hAnsi="Times New Roman" w:eastAsia="宋体"/>
          <w:sz w:val="32"/>
          <w:szCs w:val="32"/>
        </w:rPr>
        <w:instrText xml:space="preserve">TOC \o "1-3" \h \u </w:instrText>
      </w:r>
      <w:r>
        <w:rPr>
          <w:rFonts w:ascii="Times New Roman" w:hAnsi="Times New Roman" w:eastAsia="宋体"/>
          <w:sz w:val="32"/>
          <w:szCs w:val="32"/>
        </w:rPr>
        <w:fldChar w:fldCharType="separate"/>
      </w:r>
      <w:r>
        <w:fldChar w:fldCharType="begin"/>
      </w:r>
      <w:r>
        <w:instrText xml:space="preserve"> HYPERLINK \l "_Toc20850" </w:instrText>
      </w:r>
      <w:r>
        <w:fldChar w:fldCharType="separate"/>
      </w:r>
      <w:r>
        <w:rPr>
          <w:rFonts w:hint="eastAsia" w:ascii="黑体" w:hAnsi="黑体" w:eastAsia="黑体" w:cs="黑体"/>
          <w:sz w:val="32"/>
          <w:szCs w:val="32"/>
        </w:rPr>
        <w:t>一、组织情况（抽查组织情况）</w:t>
      </w:r>
      <w:r>
        <w:rPr>
          <w:sz w:val="32"/>
          <w:szCs w:val="32"/>
        </w:rPr>
        <w:tab/>
      </w:r>
      <w:r>
        <w:rPr>
          <w:sz w:val="32"/>
          <w:szCs w:val="32"/>
        </w:rPr>
        <w:fldChar w:fldCharType="begin"/>
      </w:r>
      <w:r>
        <w:rPr>
          <w:sz w:val="32"/>
          <w:szCs w:val="32"/>
        </w:rPr>
        <w:instrText xml:space="preserve"> PAGEREF _Toc20850 \h </w:instrText>
      </w:r>
      <w:r>
        <w:rPr>
          <w:sz w:val="32"/>
          <w:szCs w:val="32"/>
        </w:rPr>
        <w:fldChar w:fldCharType="separate"/>
      </w:r>
      <w:r>
        <w:rPr>
          <w:sz w:val="32"/>
          <w:szCs w:val="32"/>
        </w:rPr>
        <w:t>1</w:t>
      </w:r>
      <w:r>
        <w:rPr>
          <w:sz w:val="32"/>
          <w:szCs w:val="32"/>
        </w:rPr>
        <w:fldChar w:fldCharType="end"/>
      </w:r>
      <w:r>
        <w:rPr>
          <w:sz w:val="32"/>
          <w:szCs w:val="32"/>
        </w:rPr>
        <w:fldChar w:fldCharType="end"/>
      </w:r>
    </w:p>
    <w:p>
      <w:pPr>
        <w:pStyle w:val="11"/>
        <w:tabs>
          <w:tab w:val="right" w:leader="dot" w:pos="8306"/>
        </w:tabs>
        <w:adjustRightInd w:val="0"/>
        <w:snapToGrid w:val="0"/>
        <w:spacing w:line="360" w:lineRule="auto"/>
        <w:ind w:firstLine="300" w:firstLineChars="100"/>
        <w:rPr>
          <w:sz w:val="32"/>
          <w:szCs w:val="32"/>
        </w:rPr>
      </w:pPr>
      <w:r>
        <w:fldChar w:fldCharType="begin"/>
      </w:r>
      <w:r>
        <w:instrText xml:space="preserve"> HYPERLINK \l "_Toc23777" </w:instrText>
      </w:r>
      <w:r>
        <w:fldChar w:fldCharType="separate"/>
      </w:r>
      <w:r>
        <w:rPr>
          <w:rFonts w:hint="eastAsia" w:ascii="Cambria" w:hAnsi="Cambria" w:eastAsia="楷体"/>
          <w:kern w:val="0"/>
          <w:sz w:val="32"/>
          <w:szCs w:val="32"/>
        </w:rPr>
        <w:t>（一）抽查复核目的和对象</w:t>
      </w:r>
      <w:r>
        <w:rPr>
          <w:sz w:val="32"/>
          <w:szCs w:val="32"/>
        </w:rPr>
        <w:tab/>
      </w:r>
      <w:r>
        <w:rPr>
          <w:rFonts w:ascii="仿宋_GB2312" w:hAnsi="Calibri"/>
          <w:color w:val="000000"/>
          <w:sz w:val="32"/>
          <w:szCs w:val="32"/>
        </w:rPr>
        <w:fldChar w:fldCharType="begin"/>
      </w:r>
      <w:r>
        <w:rPr>
          <w:rFonts w:ascii="仿宋_GB2312" w:hAnsi="Calibri"/>
          <w:color w:val="000000"/>
          <w:sz w:val="32"/>
          <w:szCs w:val="32"/>
        </w:rPr>
        <w:instrText xml:space="preserve"> PAGEREF _Toc23777 \h </w:instrText>
      </w:r>
      <w:r>
        <w:rPr>
          <w:rFonts w:ascii="仿宋_GB2312" w:hAnsi="Calibri"/>
          <w:color w:val="000000"/>
          <w:sz w:val="32"/>
          <w:szCs w:val="32"/>
        </w:rPr>
        <w:fldChar w:fldCharType="separate"/>
      </w:r>
      <w:r>
        <w:rPr>
          <w:rFonts w:ascii="仿宋_GB2312" w:hAnsi="Calibri"/>
          <w:color w:val="000000"/>
          <w:sz w:val="32"/>
          <w:szCs w:val="32"/>
        </w:rPr>
        <w:t>1</w:t>
      </w:r>
      <w:r>
        <w:rPr>
          <w:rFonts w:ascii="仿宋_GB2312" w:hAnsi="Calibri"/>
          <w:color w:val="000000"/>
          <w:sz w:val="32"/>
          <w:szCs w:val="32"/>
        </w:rPr>
        <w:fldChar w:fldCharType="end"/>
      </w:r>
      <w:r>
        <w:rPr>
          <w:rFonts w:ascii="仿宋_GB2312" w:hAnsi="Calibri"/>
          <w:color w:val="000000"/>
          <w:sz w:val="32"/>
          <w:szCs w:val="32"/>
        </w:rPr>
        <w:fldChar w:fldCharType="end"/>
      </w:r>
    </w:p>
    <w:p>
      <w:pPr>
        <w:pStyle w:val="11"/>
        <w:tabs>
          <w:tab w:val="right" w:leader="dot" w:pos="8306"/>
        </w:tabs>
        <w:adjustRightInd w:val="0"/>
        <w:snapToGrid w:val="0"/>
        <w:spacing w:line="360" w:lineRule="auto"/>
        <w:ind w:firstLine="300" w:firstLineChars="100"/>
        <w:rPr>
          <w:sz w:val="32"/>
          <w:szCs w:val="32"/>
        </w:rPr>
      </w:pPr>
      <w:r>
        <w:fldChar w:fldCharType="begin"/>
      </w:r>
      <w:r>
        <w:instrText xml:space="preserve"> HYPERLINK \l "_Toc3668" </w:instrText>
      </w:r>
      <w:r>
        <w:fldChar w:fldCharType="separate"/>
      </w:r>
      <w:r>
        <w:rPr>
          <w:rFonts w:hint="eastAsia" w:ascii="Cambria" w:hAnsi="Cambria" w:eastAsia="楷体"/>
          <w:kern w:val="0"/>
          <w:sz w:val="32"/>
          <w:szCs w:val="32"/>
        </w:rPr>
        <w:t>（二）</w:t>
      </w:r>
      <w:r>
        <w:rPr>
          <w:rFonts w:hint="eastAsia" w:ascii="Cambria" w:hAnsi="Cambria" w:eastAsia="楷体" w:cstheme="majorBidi"/>
          <w:kern w:val="0"/>
          <w:sz w:val="32"/>
          <w:szCs w:val="32"/>
        </w:rPr>
        <w:t>抽查复核</w:t>
      </w:r>
      <w:r>
        <w:rPr>
          <w:rFonts w:hint="eastAsia" w:ascii="Cambria" w:hAnsi="Cambria" w:eastAsia="楷体"/>
          <w:kern w:val="0"/>
          <w:sz w:val="32"/>
          <w:szCs w:val="32"/>
        </w:rPr>
        <w:t>依据、方法和标准</w:t>
      </w:r>
      <w:r>
        <w:rPr>
          <w:sz w:val="32"/>
          <w:szCs w:val="32"/>
        </w:rPr>
        <w:tab/>
      </w:r>
      <w:r>
        <w:rPr>
          <w:rFonts w:ascii="仿宋_GB2312" w:hAnsi="Calibri"/>
          <w:color w:val="000000"/>
          <w:sz w:val="32"/>
          <w:szCs w:val="32"/>
        </w:rPr>
        <w:fldChar w:fldCharType="begin"/>
      </w:r>
      <w:r>
        <w:rPr>
          <w:rFonts w:ascii="仿宋_GB2312" w:hAnsi="Calibri"/>
          <w:color w:val="000000"/>
          <w:sz w:val="32"/>
          <w:szCs w:val="32"/>
        </w:rPr>
        <w:instrText xml:space="preserve"> PAGEREF _Toc3668 \h </w:instrText>
      </w:r>
      <w:r>
        <w:rPr>
          <w:rFonts w:ascii="仿宋_GB2312" w:hAnsi="Calibri"/>
          <w:color w:val="000000"/>
          <w:sz w:val="32"/>
          <w:szCs w:val="32"/>
        </w:rPr>
        <w:fldChar w:fldCharType="separate"/>
      </w:r>
      <w:r>
        <w:rPr>
          <w:rFonts w:ascii="仿宋_GB2312" w:hAnsi="Calibri"/>
          <w:color w:val="000000"/>
          <w:sz w:val="32"/>
          <w:szCs w:val="32"/>
        </w:rPr>
        <w:t>1</w:t>
      </w:r>
      <w:r>
        <w:rPr>
          <w:rFonts w:ascii="仿宋_GB2312" w:hAnsi="Calibri"/>
          <w:color w:val="000000"/>
          <w:sz w:val="32"/>
          <w:szCs w:val="32"/>
        </w:rPr>
        <w:fldChar w:fldCharType="end"/>
      </w:r>
      <w:r>
        <w:rPr>
          <w:rFonts w:ascii="仿宋_GB2312" w:hAnsi="Calibri"/>
          <w:color w:val="000000"/>
          <w:sz w:val="32"/>
          <w:szCs w:val="32"/>
        </w:rPr>
        <w:fldChar w:fldCharType="end"/>
      </w:r>
    </w:p>
    <w:p>
      <w:pPr>
        <w:pStyle w:val="10"/>
        <w:tabs>
          <w:tab w:val="right" w:leader="dot" w:pos="8306"/>
        </w:tabs>
        <w:adjustRightInd w:val="0"/>
        <w:spacing w:line="360" w:lineRule="auto"/>
        <w:rPr>
          <w:sz w:val="32"/>
          <w:szCs w:val="32"/>
        </w:rPr>
      </w:pPr>
      <w:r>
        <w:fldChar w:fldCharType="begin"/>
      </w:r>
      <w:r>
        <w:instrText xml:space="preserve"> HYPERLINK \l "_Toc17066" </w:instrText>
      </w:r>
      <w:r>
        <w:fldChar w:fldCharType="separate"/>
      </w:r>
      <w:r>
        <w:rPr>
          <w:rFonts w:hint="eastAsia" w:ascii="黑体" w:hAnsi="黑体" w:eastAsia="黑体" w:cs="黑体"/>
          <w:sz w:val="32"/>
          <w:szCs w:val="32"/>
        </w:rPr>
        <w:t>二、绩效自评开展情况</w:t>
      </w:r>
      <w:r>
        <w:rPr>
          <w:sz w:val="32"/>
          <w:szCs w:val="32"/>
        </w:rPr>
        <w:tab/>
      </w:r>
      <w:r>
        <w:rPr>
          <w:sz w:val="32"/>
          <w:szCs w:val="32"/>
        </w:rPr>
        <w:fldChar w:fldCharType="begin"/>
      </w:r>
      <w:r>
        <w:rPr>
          <w:sz w:val="32"/>
          <w:szCs w:val="32"/>
        </w:rPr>
        <w:instrText xml:space="preserve"> PAGEREF _Toc17066 \h </w:instrText>
      </w:r>
      <w:r>
        <w:rPr>
          <w:sz w:val="32"/>
          <w:szCs w:val="32"/>
        </w:rPr>
        <w:fldChar w:fldCharType="separate"/>
      </w:r>
      <w:r>
        <w:rPr>
          <w:sz w:val="32"/>
          <w:szCs w:val="32"/>
        </w:rPr>
        <w:t>2</w:t>
      </w:r>
      <w:r>
        <w:rPr>
          <w:sz w:val="32"/>
          <w:szCs w:val="32"/>
        </w:rPr>
        <w:fldChar w:fldCharType="end"/>
      </w:r>
      <w:r>
        <w:rPr>
          <w:sz w:val="32"/>
          <w:szCs w:val="32"/>
        </w:rPr>
        <w:fldChar w:fldCharType="end"/>
      </w:r>
    </w:p>
    <w:p>
      <w:pPr>
        <w:pStyle w:val="11"/>
        <w:tabs>
          <w:tab w:val="right" w:leader="dot" w:pos="8306"/>
        </w:tabs>
        <w:adjustRightInd w:val="0"/>
        <w:snapToGrid w:val="0"/>
        <w:spacing w:line="360" w:lineRule="auto"/>
        <w:ind w:left="739" w:leftChars="352"/>
        <w:rPr>
          <w:sz w:val="32"/>
          <w:szCs w:val="32"/>
        </w:rPr>
      </w:pPr>
      <w:r>
        <w:fldChar w:fldCharType="begin"/>
      </w:r>
      <w:r>
        <w:instrText xml:space="preserve"> HYPERLINK \l "_Toc16329" </w:instrText>
      </w:r>
      <w:r>
        <w:fldChar w:fldCharType="separate"/>
      </w:r>
      <w:r>
        <w:rPr>
          <w:rFonts w:hint="eastAsia" w:ascii="楷体_GB2312" w:hAnsi="楷体_GB2312" w:eastAsia="楷体_GB2312" w:cs="楷体_GB2312"/>
          <w:spacing w:val="-4"/>
          <w:sz w:val="32"/>
          <w:szCs w:val="32"/>
        </w:rPr>
        <w:t>（一）绩效自评整体情况（单位自评情况，不是抽查复核情况）</w:t>
      </w:r>
      <w:r>
        <w:rPr>
          <w:sz w:val="32"/>
          <w:szCs w:val="32"/>
        </w:rPr>
        <w:tab/>
      </w:r>
      <w:r>
        <w:rPr>
          <w:rFonts w:ascii="仿宋_GB2312" w:hAnsi="Calibri"/>
          <w:color w:val="000000"/>
          <w:sz w:val="32"/>
          <w:szCs w:val="32"/>
        </w:rPr>
        <w:fldChar w:fldCharType="begin"/>
      </w:r>
      <w:r>
        <w:rPr>
          <w:rFonts w:ascii="仿宋_GB2312" w:hAnsi="Calibri"/>
          <w:color w:val="000000"/>
          <w:sz w:val="32"/>
          <w:szCs w:val="32"/>
        </w:rPr>
        <w:instrText xml:space="preserve"> PAGEREF _Toc16329 \h </w:instrText>
      </w:r>
      <w:r>
        <w:rPr>
          <w:rFonts w:ascii="仿宋_GB2312" w:hAnsi="Calibri"/>
          <w:color w:val="000000"/>
          <w:sz w:val="32"/>
          <w:szCs w:val="32"/>
        </w:rPr>
        <w:fldChar w:fldCharType="separate"/>
      </w:r>
      <w:r>
        <w:rPr>
          <w:rFonts w:ascii="仿宋_GB2312" w:hAnsi="Calibri"/>
          <w:color w:val="000000"/>
          <w:sz w:val="32"/>
          <w:szCs w:val="32"/>
        </w:rPr>
        <w:t>2</w:t>
      </w:r>
      <w:r>
        <w:rPr>
          <w:rFonts w:ascii="仿宋_GB2312" w:hAnsi="Calibri"/>
          <w:color w:val="000000"/>
          <w:sz w:val="32"/>
          <w:szCs w:val="32"/>
        </w:rPr>
        <w:fldChar w:fldCharType="end"/>
      </w:r>
      <w:r>
        <w:rPr>
          <w:rFonts w:ascii="仿宋_GB2312" w:hAnsi="Calibri"/>
          <w:color w:val="000000"/>
          <w:sz w:val="32"/>
          <w:szCs w:val="32"/>
        </w:rPr>
        <w:fldChar w:fldCharType="end"/>
      </w:r>
    </w:p>
    <w:p>
      <w:pPr>
        <w:pStyle w:val="11"/>
        <w:tabs>
          <w:tab w:val="right" w:leader="dot" w:pos="8306"/>
        </w:tabs>
        <w:adjustRightInd w:val="0"/>
        <w:snapToGrid w:val="0"/>
        <w:spacing w:line="360" w:lineRule="auto"/>
        <w:ind w:firstLine="300" w:firstLineChars="100"/>
        <w:rPr>
          <w:sz w:val="32"/>
          <w:szCs w:val="32"/>
        </w:rPr>
      </w:pPr>
      <w:r>
        <w:fldChar w:fldCharType="begin"/>
      </w:r>
      <w:r>
        <w:instrText xml:space="preserve"> HYPERLINK \l "_Toc23927" </w:instrText>
      </w:r>
      <w:r>
        <w:fldChar w:fldCharType="separate"/>
      </w:r>
      <w:r>
        <w:rPr>
          <w:rFonts w:hint="eastAsia" w:ascii="楷体_GB2312" w:hAnsi="楷体_GB2312" w:eastAsia="楷体_GB2312" w:cs="楷体_GB2312"/>
          <w:spacing w:val="-4"/>
          <w:sz w:val="32"/>
          <w:szCs w:val="32"/>
        </w:rPr>
        <w:t>（二）主要成效</w:t>
      </w:r>
      <w:r>
        <w:rPr>
          <w:sz w:val="32"/>
          <w:szCs w:val="32"/>
        </w:rPr>
        <w:tab/>
      </w:r>
      <w:r>
        <w:rPr>
          <w:rFonts w:ascii="仿宋_GB2312" w:hAnsi="Calibri"/>
          <w:color w:val="000000"/>
          <w:sz w:val="32"/>
          <w:szCs w:val="32"/>
        </w:rPr>
        <w:fldChar w:fldCharType="begin"/>
      </w:r>
      <w:r>
        <w:rPr>
          <w:rFonts w:ascii="仿宋_GB2312" w:hAnsi="Calibri"/>
          <w:color w:val="000000"/>
          <w:sz w:val="32"/>
          <w:szCs w:val="32"/>
        </w:rPr>
        <w:instrText xml:space="preserve"> PAGEREF _Toc23927 \h </w:instrText>
      </w:r>
      <w:r>
        <w:rPr>
          <w:rFonts w:ascii="仿宋_GB2312" w:hAnsi="Calibri"/>
          <w:color w:val="000000"/>
          <w:sz w:val="32"/>
          <w:szCs w:val="32"/>
        </w:rPr>
        <w:fldChar w:fldCharType="separate"/>
      </w:r>
      <w:r>
        <w:rPr>
          <w:rFonts w:ascii="仿宋_GB2312" w:hAnsi="Calibri"/>
          <w:color w:val="000000"/>
          <w:sz w:val="32"/>
          <w:szCs w:val="32"/>
        </w:rPr>
        <w:t>2</w:t>
      </w:r>
      <w:r>
        <w:rPr>
          <w:rFonts w:ascii="仿宋_GB2312" w:hAnsi="Calibri"/>
          <w:color w:val="000000"/>
          <w:sz w:val="32"/>
          <w:szCs w:val="32"/>
        </w:rPr>
        <w:fldChar w:fldCharType="end"/>
      </w:r>
      <w:r>
        <w:rPr>
          <w:rFonts w:ascii="仿宋_GB2312" w:hAnsi="Calibri"/>
          <w:color w:val="000000"/>
          <w:sz w:val="32"/>
          <w:szCs w:val="32"/>
        </w:rPr>
        <w:fldChar w:fldCharType="end"/>
      </w:r>
    </w:p>
    <w:p>
      <w:pPr>
        <w:pStyle w:val="10"/>
        <w:tabs>
          <w:tab w:val="right" w:leader="dot" w:pos="8306"/>
        </w:tabs>
        <w:adjustRightInd w:val="0"/>
        <w:spacing w:line="360" w:lineRule="auto"/>
        <w:rPr>
          <w:sz w:val="32"/>
          <w:szCs w:val="32"/>
        </w:rPr>
      </w:pPr>
      <w:r>
        <w:fldChar w:fldCharType="begin"/>
      </w:r>
      <w:r>
        <w:instrText xml:space="preserve"> HYPERLINK \l "_Toc23295" </w:instrText>
      </w:r>
      <w:r>
        <w:fldChar w:fldCharType="separate"/>
      </w:r>
      <w:r>
        <w:rPr>
          <w:rFonts w:hint="eastAsia" w:ascii="黑体" w:hAnsi="黑体" w:eastAsia="黑体" w:cs="黑体"/>
          <w:sz w:val="32"/>
          <w:szCs w:val="32"/>
        </w:rPr>
        <w:t>三、绩效自评抽查复核情况</w:t>
      </w:r>
      <w:r>
        <w:rPr>
          <w:sz w:val="32"/>
          <w:szCs w:val="32"/>
        </w:rPr>
        <w:tab/>
      </w:r>
      <w:r>
        <w:rPr>
          <w:sz w:val="32"/>
          <w:szCs w:val="32"/>
        </w:rPr>
        <w:fldChar w:fldCharType="begin"/>
      </w:r>
      <w:r>
        <w:rPr>
          <w:sz w:val="32"/>
          <w:szCs w:val="32"/>
        </w:rPr>
        <w:instrText xml:space="preserve"> PAGEREF _Toc23295 \h </w:instrText>
      </w:r>
      <w:r>
        <w:rPr>
          <w:sz w:val="32"/>
          <w:szCs w:val="32"/>
        </w:rPr>
        <w:fldChar w:fldCharType="separate"/>
      </w:r>
      <w:r>
        <w:rPr>
          <w:sz w:val="32"/>
          <w:szCs w:val="32"/>
        </w:rPr>
        <w:t>2</w:t>
      </w:r>
      <w:r>
        <w:rPr>
          <w:sz w:val="32"/>
          <w:szCs w:val="32"/>
        </w:rPr>
        <w:fldChar w:fldCharType="end"/>
      </w:r>
      <w:r>
        <w:rPr>
          <w:sz w:val="32"/>
          <w:szCs w:val="32"/>
        </w:rPr>
        <w:fldChar w:fldCharType="end"/>
      </w:r>
    </w:p>
    <w:p>
      <w:pPr>
        <w:pStyle w:val="11"/>
        <w:tabs>
          <w:tab w:val="right" w:leader="dot" w:pos="8306"/>
        </w:tabs>
        <w:adjustRightInd w:val="0"/>
        <w:snapToGrid w:val="0"/>
        <w:spacing w:line="360" w:lineRule="auto"/>
        <w:ind w:firstLine="300" w:firstLineChars="100"/>
        <w:rPr>
          <w:sz w:val="32"/>
          <w:szCs w:val="32"/>
        </w:rPr>
      </w:pPr>
      <w:r>
        <w:fldChar w:fldCharType="begin"/>
      </w:r>
      <w:r>
        <w:instrText xml:space="preserve"> HYPERLINK \l "_Toc23965" </w:instrText>
      </w:r>
      <w:r>
        <w:fldChar w:fldCharType="separate"/>
      </w:r>
      <w:r>
        <w:rPr>
          <w:rFonts w:hint="eastAsia" w:ascii="楷体_GB2312" w:hAnsi="楷体_GB2312" w:eastAsia="楷体_GB2312" w:cs="楷体_GB2312"/>
          <w:sz w:val="32"/>
          <w:szCs w:val="32"/>
        </w:rPr>
        <w:t>（一）自评和抽查复核评分结果差异率分析</w:t>
      </w:r>
      <w:r>
        <w:rPr>
          <w:sz w:val="32"/>
          <w:szCs w:val="32"/>
        </w:rPr>
        <w:tab/>
      </w:r>
      <w:r>
        <w:rPr>
          <w:rFonts w:ascii="仿宋_GB2312" w:hAnsi="Calibri"/>
          <w:color w:val="000000"/>
          <w:sz w:val="32"/>
          <w:szCs w:val="32"/>
        </w:rPr>
        <w:fldChar w:fldCharType="begin"/>
      </w:r>
      <w:r>
        <w:rPr>
          <w:rFonts w:ascii="仿宋_GB2312" w:hAnsi="Calibri"/>
          <w:color w:val="000000"/>
          <w:sz w:val="32"/>
          <w:szCs w:val="32"/>
        </w:rPr>
        <w:instrText xml:space="preserve"> PAGEREF _Toc23965 \h </w:instrText>
      </w:r>
      <w:r>
        <w:rPr>
          <w:rFonts w:ascii="仿宋_GB2312" w:hAnsi="Calibri"/>
          <w:color w:val="000000"/>
          <w:sz w:val="32"/>
          <w:szCs w:val="32"/>
        </w:rPr>
        <w:fldChar w:fldCharType="separate"/>
      </w:r>
      <w:r>
        <w:rPr>
          <w:rFonts w:ascii="仿宋_GB2312" w:hAnsi="Calibri"/>
          <w:color w:val="000000"/>
          <w:sz w:val="32"/>
          <w:szCs w:val="32"/>
        </w:rPr>
        <w:t>2</w:t>
      </w:r>
      <w:r>
        <w:rPr>
          <w:rFonts w:ascii="仿宋_GB2312" w:hAnsi="Calibri"/>
          <w:color w:val="000000"/>
          <w:sz w:val="32"/>
          <w:szCs w:val="32"/>
        </w:rPr>
        <w:fldChar w:fldCharType="end"/>
      </w:r>
      <w:r>
        <w:rPr>
          <w:rFonts w:ascii="仿宋_GB2312" w:hAnsi="Calibri"/>
          <w:color w:val="000000"/>
          <w:sz w:val="32"/>
          <w:szCs w:val="32"/>
        </w:rPr>
        <w:fldChar w:fldCharType="end"/>
      </w:r>
    </w:p>
    <w:p>
      <w:pPr>
        <w:pStyle w:val="11"/>
        <w:tabs>
          <w:tab w:val="right" w:leader="dot" w:pos="8306"/>
        </w:tabs>
        <w:adjustRightInd w:val="0"/>
        <w:snapToGrid w:val="0"/>
        <w:spacing w:line="360" w:lineRule="auto"/>
        <w:ind w:firstLine="300" w:firstLineChars="100"/>
        <w:rPr>
          <w:sz w:val="32"/>
          <w:szCs w:val="32"/>
        </w:rPr>
      </w:pPr>
      <w:r>
        <w:fldChar w:fldCharType="begin"/>
      </w:r>
      <w:r>
        <w:instrText xml:space="preserve"> HYPERLINK \l "_Toc10063" </w:instrText>
      </w:r>
      <w:r>
        <w:fldChar w:fldCharType="separate"/>
      </w:r>
      <w:r>
        <w:rPr>
          <w:rFonts w:hint="eastAsia" w:ascii="楷体_GB2312" w:hAnsi="楷体_GB2312" w:eastAsia="楷体_GB2312" w:cs="楷体_GB2312"/>
          <w:sz w:val="32"/>
          <w:szCs w:val="32"/>
        </w:rPr>
        <w:t>（二）抽查复核发现的问题</w:t>
      </w:r>
      <w:r>
        <w:rPr>
          <w:sz w:val="32"/>
          <w:szCs w:val="32"/>
        </w:rPr>
        <w:tab/>
      </w:r>
      <w:r>
        <w:rPr>
          <w:rFonts w:ascii="仿宋_GB2312" w:hAnsi="Calibri"/>
          <w:color w:val="000000"/>
          <w:sz w:val="32"/>
          <w:szCs w:val="32"/>
        </w:rPr>
        <w:fldChar w:fldCharType="begin"/>
      </w:r>
      <w:r>
        <w:rPr>
          <w:rFonts w:ascii="仿宋_GB2312" w:hAnsi="Calibri"/>
          <w:color w:val="000000"/>
          <w:sz w:val="32"/>
          <w:szCs w:val="32"/>
        </w:rPr>
        <w:instrText xml:space="preserve"> PAGEREF _Toc10063 \h </w:instrText>
      </w:r>
      <w:r>
        <w:rPr>
          <w:rFonts w:ascii="仿宋_GB2312" w:hAnsi="Calibri"/>
          <w:color w:val="000000"/>
          <w:sz w:val="32"/>
          <w:szCs w:val="32"/>
        </w:rPr>
        <w:fldChar w:fldCharType="separate"/>
      </w:r>
      <w:r>
        <w:rPr>
          <w:rFonts w:ascii="仿宋_GB2312" w:hAnsi="Calibri"/>
          <w:color w:val="000000"/>
          <w:sz w:val="32"/>
          <w:szCs w:val="32"/>
        </w:rPr>
        <w:t>2</w:t>
      </w:r>
      <w:r>
        <w:rPr>
          <w:rFonts w:ascii="仿宋_GB2312" w:hAnsi="Calibri"/>
          <w:color w:val="000000"/>
          <w:sz w:val="32"/>
          <w:szCs w:val="32"/>
        </w:rPr>
        <w:fldChar w:fldCharType="end"/>
      </w:r>
      <w:r>
        <w:rPr>
          <w:rFonts w:ascii="仿宋_GB2312" w:hAnsi="Calibri"/>
          <w:color w:val="000000"/>
          <w:sz w:val="32"/>
          <w:szCs w:val="32"/>
        </w:rPr>
        <w:fldChar w:fldCharType="end"/>
      </w:r>
    </w:p>
    <w:p>
      <w:pPr>
        <w:pStyle w:val="10"/>
        <w:tabs>
          <w:tab w:val="right" w:leader="dot" w:pos="8306"/>
        </w:tabs>
        <w:adjustRightInd w:val="0"/>
        <w:spacing w:line="360" w:lineRule="auto"/>
        <w:rPr>
          <w:sz w:val="32"/>
          <w:szCs w:val="32"/>
        </w:rPr>
      </w:pPr>
      <w:r>
        <w:fldChar w:fldCharType="begin"/>
      </w:r>
      <w:r>
        <w:instrText xml:space="preserve"> HYPERLINK \l "_Toc19466" </w:instrText>
      </w:r>
      <w:r>
        <w:fldChar w:fldCharType="separate"/>
      </w:r>
      <w:r>
        <w:rPr>
          <w:rFonts w:hint="eastAsia" w:ascii="黑体" w:hAnsi="黑体" w:eastAsia="黑体" w:cs="黑体"/>
          <w:sz w:val="32"/>
          <w:szCs w:val="32"/>
        </w:rPr>
        <w:t>四、意见建议</w:t>
      </w:r>
      <w:r>
        <w:rPr>
          <w:sz w:val="32"/>
          <w:szCs w:val="32"/>
        </w:rPr>
        <w:tab/>
      </w:r>
      <w:r>
        <w:rPr>
          <w:sz w:val="32"/>
          <w:szCs w:val="32"/>
        </w:rPr>
        <w:fldChar w:fldCharType="begin"/>
      </w:r>
      <w:r>
        <w:rPr>
          <w:sz w:val="32"/>
          <w:szCs w:val="32"/>
        </w:rPr>
        <w:instrText xml:space="preserve"> PAGEREF _Toc19466 \h </w:instrText>
      </w:r>
      <w:r>
        <w:rPr>
          <w:sz w:val="32"/>
          <w:szCs w:val="32"/>
        </w:rPr>
        <w:fldChar w:fldCharType="separate"/>
      </w:r>
      <w:r>
        <w:rPr>
          <w:sz w:val="32"/>
          <w:szCs w:val="32"/>
        </w:rPr>
        <w:t>3</w:t>
      </w:r>
      <w:r>
        <w:rPr>
          <w:sz w:val="32"/>
          <w:szCs w:val="32"/>
        </w:rPr>
        <w:fldChar w:fldCharType="end"/>
      </w:r>
      <w:r>
        <w:rPr>
          <w:sz w:val="32"/>
          <w:szCs w:val="32"/>
        </w:rPr>
        <w:fldChar w:fldCharType="end"/>
      </w:r>
    </w:p>
    <w:p>
      <w:pPr>
        <w:pStyle w:val="26"/>
        <w:numPr>
          <w:ilvl w:val="255"/>
          <w:numId w:val="0"/>
        </w:numPr>
        <w:adjustRightInd w:val="0"/>
        <w:snapToGrid w:val="0"/>
        <w:spacing w:line="360" w:lineRule="auto"/>
        <w:ind w:left="2730"/>
        <w:rPr>
          <w:rFonts w:ascii="黑体" w:hAnsi="黑体" w:eastAsia="黑体" w:cs="黑体"/>
          <w:sz w:val="32"/>
          <w:szCs w:val="32"/>
        </w:rPr>
      </w:pPr>
      <w:r>
        <w:rPr>
          <w:rFonts w:eastAsia="宋体"/>
          <w:bCs/>
          <w:sz w:val="32"/>
          <w:szCs w:val="32"/>
        </w:rPr>
        <w:fldChar w:fldCharType="end"/>
      </w:r>
    </w:p>
    <w:p>
      <w:pPr>
        <w:pStyle w:val="2"/>
        <w:widowControl/>
        <w:overflowPunct w:val="0"/>
        <w:autoSpaceDE w:val="0"/>
        <w:autoSpaceDN w:val="0"/>
        <w:adjustRightInd w:val="0"/>
        <w:snapToGrid w:val="0"/>
        <w:spacing w:line="240" w:lineRule="auto"/>
        <w:ind w:firstLine="480" w:firstLineChars="200"/>
        <w:textAlignment w:val="baseline"/>
        <w:rPr>
          <w:rFonts w:eastAsia="宋体"/>
          <w:b w:val="0"/>
          <w:bCs/>
          <w:sz w:val="24"/>
        </w:rPr>
      </w:pPr>
    </w:p>
    <w:p>
      <w:pPr>
        <w:sectPr>
          <w:footerReference r:id="rId3" w:type="default"/>
          <w:pgSz w:w="11906" w:h="16838"/>
          <w:pgMar w:top="1440" w:right="1800" w:bottom="1440" w:left="1800" w:header="737" w:footer="851" w:gutter="0"/>
          <w:pgNumType w:start="1"/>
          <w:cols w:space="720" w:num="1"/>
          <w:docGrid w:type="lines" w:linePitch="408" w:charSpace="0"/>
        </w:sectPr>
      </w:pPr>
      <w:r>
        <w:rPr>
          <w:rFonts w:hint="eastAsia"/>
        </w:rPr>
        <w:t xml:space="preserve"> </w:t>
      </w:r>
    </w:p>
    <w:p>
      <w:pPr>
        <w:tabs>
          <w:tab w:val="left" w:pos="3618"/>
        </w:tabs>
        <w:spacing w:line="580" w:lineRule="exact"/>
        <w:jc w:val="left"/>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ab/>
      </w:r>
    </w:p>
    <w:p>
      <w:pPr>
        <w:spacing w:line="520" w:lineRule="exact"/>
        <w:ind w:left="880" w:hanging="880"/>
        <w:jc w:val="center"/>
        <w:rPr>
          <w:rFonts w:ascii="方正小标宋_GBK" w:eastAsia="方正小标宋_GBK" w:cs="文星简黑体"/>
          <w:sz w:val="44"/>
          <w:szCs w:val="44"/>
        </w:rPr>
      </w:pPr>
      <w:r>
        <w:rPr>
          <w:rFonts w:hint="eastAsia" w:ascii="方正小标宋简体" w:hAnsi="方正小标宋简体" w:eastAsia="方正小标宋简体" w:cs="方正小标宋简体"/>
          <w:bCs/>
          <w:sz w:val="44"/>
          <w:szCs w:val="44"/>
          <w:lang w:val="en-US" w:eastAsia="zh-CN"/>
        </w:rPr>
        <w:t>2025</w:t>
      </w:r>
      <w:r>
        <w:rPr>
          <w:rFonts w:hint="eastAsia" w:ascii="方正小标宋简体" w:hAnsi="方正小标宋简体" w:eastAsia="方正小标宋简体" w:cs="方正小标宋简体"/>
          <w:bCs/>
          <w:sz w:val="44"/>
          <w:szCs w:val="44"/>
        </w:rPr>
        <w:t>年度计算机中心及档案管理平台运维费等资金绩效自评抽查复核报告</w:t>
      </w:r>
    </w:p>
    <w:p>
      <w:pPr>
        <w:spacing w:line="580" w:lineRule="exact"/>
        <w:jc w:val="center"/>
        <w:rPr>
          <w:rFonts w:ascii="仿宋_GB2312" w:hAnsi="仿宋_GB2312" w:eastAsia="仿宋_GB2312" w:cs="仿宋_GB2312"/>
          <w:sz w:val="32"/>
          <w:szCs w:val="32"/>
        </w:rPr>
      </w:pPr>
    </w:p>
    <w:p>
      <w:pPr>
        <w:pStyle w:val="26"/>
        <w:spacing w:line="580" w:lineRule="exact"/>
        <w:ind w:left="640" w:firstLine="0" w:firstLineChars="0"/>
        <w:outlineLvl w:val="0"/>
        <w:rPr>
          <w:rFonts w:ascii="黑体" w:hAnsi="黑体" w:eastAsia="黑体" w:cs="黑体"/>
          <w:sz w:val="32"/>
          <w:szCs w:val="32"/>
        </w:rPr>
      </w:pPr>
      <w:bookmarkStart w:id="0" w:name="_Toc20850"/>
      <w:bookmarkStart w:id="1" w:name="_Toc4413"/>
      <w:bookmarkStart w:id="2" w:name="_Toc11904"/>
      <w:bookmarkStart w:id="3" w:name="_Toc27098"/>
      <w:r>
        <w:rPr>
          <w:rFonts w:hint="eastAsia" w:ascii="黑体" w:hAnsi="黑体" w:eastAsia="黑体" w:cs="黑体"/>
          <w:sz w:val="32"/>
          <w:szCs w:val="32"/>
        </w:rPr>
        <w:t>一、组织情况（抽查组织情况）</w:t>
      </w:r>
      <w:bookmarkEnd w:id="0"/>
      <w:bookmarkEnd w:id="1"/>
      <w:bookmarkEnd w:id="2"/>
      <w:bookmarkEnd w:id="3"/>
    </w:p>
    <w:p>
      <w:pPr>
        <w:pStyle w:val="3"/>
        <w:keepNext w:val="0"/>
        <w:widowControl/>
        <w:overflowPunct w:val="0"/>
        <w:autoSpaceDE w:val="0"/>
        <w:autoSpaceDN w:val="0"/>
        <w:adjustRightInd w:val="0"/>
        <w:snapToGrid w:val="0"/>
        <w:spacing w:before="0" w:after="0" w:line="580" w:lineRule="exact"/>
        <w:ind w:firstLine="640" w:firstLineChars="200"/>
        <w:textAlignment w:val="baseline"/>
        <w:rPr>
          <w:rFonts w:ascii="Cambria" w:hAnsi="Cambria" w:eastAsia="楷体"/>
          <w:b w:val="0"/>
          <w:bCs w:val="0"/>
          <w:kern w:val="0"/>
        </w:rPr>
      </w:pPr>
      <w:bookmarkStart w:id="4" w:name="_Toc11369"/>
      <w:bookmarkStart w:id="5" w:name="_Toc78653001"/>
      <w:bookmarkStart w:id="6" w:name="_Toc21684"/>
      <w:bookmarkStart w:id="7" w:name="_Toc11751"/>
      <w:bookmarkStart w:id="8" w:name="_Toc23777"/>
      <w:r>
        <w:rPr>
          <w:rFonts w:hint="eastAsia" w:ascii="Cambria" w:hAnsi="Cambria" w:eastAsia="楷体"/>
          <w:b w:val="0"/>
          <w:bCs w:val="0"/>
          <w:kern w:val="0"/>
        </w:rPr>
        <w:t>（一）抽查复核目的和对象</w:t>
      </w:r>
      <w:bookmarkEnd w:id="4"/>
      <w:bookmarkEnd w:id="5"/>
      <w:bookmarkEnd w:id="6"/>
      <w:bookmarkEnd w:id="7"/>
      <w:bookmarkEnd w:id="8"/>
    </w:p>
    <w:p>
      <w:pPr>
        <w:spacing w:line="580" w:lineRule="exact"/>
        <w:ind w:firstLine="640" w:firstLineChars="200"/>
        <w:rPr>
          <w:rFonts w:ascii="仿宋_GB2312" w:hAnsi="仿宋"/>
          <w:sz w:val="32"/>
          <w:szCs w:val="32"/>
        </w:rPr>
      </w:pPr>
      <w:r>
        <w:rPr>
          <w:rFonts w:hint="eastAsia" w:ascii="仿宋_GB2312" w:hAnsi="仿宋"/>
          <w:sz w:val="32"/>
          <w:szCs w:val="32"/>
        </w:rPr>
        <w:t>1.</w:t>
      </w:r>
      <w:r>
        <w:rPr>
          <w:rFonts w:hint="eastAsia" w:ascii="Cambria" w:hAnsi="Cambria" w:eastAsia="楷体"/>
          <w:b/>
          <w:bCs/>
          <w:kern w:val="0"/>
        </w:rPr>
        <w:t xml:space="preserve"> </w:t>
      </w:r>
      <w:r>
        <w:rPr>
          <w:rFonts w:hint="eastAsia" w:ascii="仿宋_GB2312" w:hAnsi="楷体_GB2312" w:eastAsia="仿宋_GB2312" w:cs="楷体_GB2312"/>
          <w:spacing w:val="-4"/>
          <w:sz w:val="32"/>
          <w:szCs w:val="32"/>
        </w:rPr>
        <w:t>抽查复核目的</w:t>
      </w:r>
    </w:p>
    <w:p>
      <w:pPr>
        <w:autoSpaceDE w:val="0"/>
        <w:autoSpaceDN w:val="0"/>
        <w:adjustRightInd w:val="0"/>
        <w:spacing w:line="580" w:lineRule="exact"/>
        <w:ind w:firstLine="624" w:firstLineChars="200"/>
        <w:jc w:val="left"/>
        <w:rPr>
          <w:rFonts w:ascii="仿宋_GB2312" w:hAnsi="楷体_GB2312" w:eastAsia="仿宋_GB2312" w:cs="楷体_GB2312"/>
          <w:spacing w:val="-4"/>
          <w:sz w:val="32"/>
          <w:szCs w:val="32"/>
        </w:rPr>
      </w:pPr>
      <w:bookmarkStart w:id="9" w:name="_Toc32652"/>
      <w:bookmarkStart w:id="10" w:name="_Toc14593"/>
      <w:r>
        <w:rPr>
          <w:rFonts w:hint="eastAsia" w:ascii="仿宋_GB2312" w:hAnsi="楷体_GB2312" w:eastAsia="仿宋_GB2312" w:cs="楷体_GB2312"/>
          <w:spacing w:val="-4"/>
          <w:sz w:val="32"/>
          <w:szCs w:val="32"/>
        </w:rPr>
        <w:t>通过对</w:t>
      </w:r>
      <w:r>
        <w:rPr>
          <w:rFonts w:hint="eastAsia" w:ascii="仿宋_GB2312" w:hAnsi="楷体_GB2312" w:eastAsia="仿宋_GB2312" w:cs="楷体_GB2312"/>
          <w:spacing w:val="-4"/>
          <w:sz w:val="32"/>
          <w:szCs w:val="32"/>
          <w:lang w:val="en-US" w:eastAsia="zh-CN"/>
        </w:rPr>
        <w:t>2025</w:t>
      </w:r>
      <w:r>
        <w:rPr>
          <w:rFonts w:hint="eastAsia" w:ascii="仿宋_GB2312" w:hAnsi="楷体_GB2312" w:eastAsia="仿宋_GB2312" w:cs="楷体_GB2312"/>
          <w:spacing w:val="-4"/>
          <w:sz w:val="32"/>
          <w:szCs w:val="32"/>
        </w:rPr>
        <w:t>年度计算机中心及档案管理平台运维费等资金单位自评的预算执行和绩效目标完成情况进行客观、公正的复核，总结项目实施过程中的经验做法，发现完整性、规范性、真实性和准确性方面存在的问题，提出改进建议，提高计算机中心及档案管理平台运维费等专项资金的使用效率。</w:t>
      </w:r>
      <w:bookmarkEnd w:id="9"/>
      <w:bookmarkEnd w:id="10"/>
    </w:p>
    <w:p>
      <w:pPr>
        <w:spacing w:line="580" w:lineRule="exact"/>
        <w:ind w:firstLine="640" w:firstLineChars="200"/>
        <w:rPr>
          <w:rFonts w:ascii="仿宋_GB2312" w:hAnsi="仿宋"/>
          <w:sz w:val="32"/>
          <w:szCs w:val="32"/>
        </w:rPr>
      </w:pPr>
      <w:r>
        <w:rPr>
          <w:rFonts w:hint="eastAsia" w:ascii="仿宋_GB2312" w:hAnsi="仿宋"/>
          <w:sz w:val="32"/>
          <w:szCs w:val="32"/>
        </w:rPr>
        <w:t>2.</w:t>
      </w:r>
      <w:r>
        <w:rPr>
          <w:rFonts w:hint="eastAsia" w:ascii="Cambria" w:hAnsi="Cambria" w:eastAsia="楷体"/>
          <w:b/>
          <w:bCs/>
          <w:kern w:val="0"/>
        </w:rPr>
        <w:t xml:space="preserve"> </w:t>
      </w:r>
      <w:r>
        <w:rPr>
          <w:rFonts w:hint="eastAsia" w:ascii="仿宋_GB2312" w:hAnsi="楷体_GB2312" w:eastAsia="仿宋_GB2312" w:cs="楷体_GB2312"/>
          <w:spacing w:val="-4"/>
          <w:sz w:val="32"/>
          <w:szCs w:val="32"/>
        </w:rPr>
        <w:t>抽查复核对象</w:t>
      </w:r>
    </w:p>
    <w:p>
      <w:pPr>
        <w:spacing w:line="580" w:lineRule="exact"/>
        <w:ind w:firstLine="624" w:firstLineChars="200"/>
        <w:rPr>
          <w:rFonts w:ascii="仿宋_GB2312" w:hAnsi="仿宋_GB2312" w:cs="仿宋_GB2312"/>
          <w:sz w:val="32"/>
          <w:szCs w:val="32"/>
          <w:highlight w:val="none"/>
        </w:rPr>
      </w:pPr>
      <w:r>
        <w:rPr>
          <w:rFonts w:hint="eastAsia" w:ascii="仿宋_GB2312" w:hAnsi="楷体_GB2312" w:eastAsia="仿宋_GB2312" w:cs="楷体_GB2312"/>
          <w:spacing w:val="-4"/>
          <w:sz w:val="32"/>
          <w:szCs w:val="32"/>
          <w:lang w:val="en-US" w:eastAsia="zh-CN"/>
        </w:rPr>
        <w:t>2025</w:t>
      </w:r>
      <w:r>
        <w:rPr>
          <w:rFonts w:hint="eastAsia" w:ascii="仿宋_GB2312" w:hAnsi="楷体_GB2312" w:eastAsia="仿宋_GB2312" w:cs="楷体_GB2312"/>
          <w:spacing w:val="-4"/>
          <w:sz w:val="32"/>
          <w:szCs w:val="32"/>
        </w:rPr>
        <w:t>年度计算机中心及档案管理平台运维费等资金单位自评表及证明资料，</w:t>
      </w:r>
      <w:r>
        <w:rPr>
          <w:rFonts w:hint="eastAsia" w:ascii="仿宋_GB2312" w:hAnsi="楷体_GB2312" w:eastAsia="仿宋_GB2312" w:cs="楷体_GB2312"/>
          <w:spacing w:val="-4"/>
          <w:sz w:val="32"/>
          <w:szCs w:val="32"/>
          <w:highlight w:val="none"/>
        </w:rPr>
        <w:t>包括：绩效自评表、记账凭证、维修维护记录等</w:t>
      </w:r>
      <w:r>
        <w:rPr>
          <w:rFonts w:hint="eastAsia" w:ascii="仿宋_GB2312" w:hAnsi="仿宋_GB2312" w:cs="仿宋_GB2312"/>
          <w:sz w:val="32"/>
          <w:szCs w:val="32"/>
          <w:highlight w:val="none"/>
        </w:rPr>
        <w:t>。</w:t>
      </w:r>
    </w:p>
    <w:p>
      <w:pPr>
        <w:pStyle w:val="3"/>
        <w:keepNext w:val="0"/>
        <w:widowControl/>
        <w:overflowPunct w:val="0"/>
        <w:autoSpaceDE w:val="0"/>
        <w:autoSpaceDN w:val="0"/>
        <w:adjustRightInd w:val="0"/>
        <w:snapToGrid w:val="0"/>
        <w:spacing w:before="0" w:after="0" w:line="580" w:lineRule="exact"/>
        <w:ind w:firstLine="640" w:firstLineChars="200"/>
        <w:textAlignment w:val="baseline"/>
        <w:rPr>
          <w:rFonts w:ascii="Cambria" w:hAnsi="Cambria" w:eastAsia="楷体"/>
          <w:b w:val="0"/>
          <w:bCs w:val="0"/>
          <w:kern w:val="0"/>
        </w:rPr>
      </w:pPr>
      <w:bookmarkStart w:id="11" w:name="_Toc19067"/>
      <w:bookmarkStart w:id="12" w:name="_Toc3766"/>
      <w:bookmarkStart w:id="13" w:name="_Toc419"/>
      <w:bookmarkStart w:id="14" w:name="_Toc78653003"/>
      <w:bookmarkStart w:id="15" w:name="_Toc3668"/>
      <w:r>
        <w:rPr>
          <w:rFonts w:hint="eastAsia" w:ascii="Cambria" w:hAnsi="Cambria" w:eastAsia="楷体"/>
          <w:b w:val="0"/>
          <w:bCs w:val="0"/>
          <w:kern w:val="0"/>
        </w:rPr>
        <w:t>（二）抽查复核依据、方法和标准</w:t>
      </w:r>
      <w:bookmarkEnd w:id="11"/>
      <w:bookmarkEnd w:id="12"/>
      <w:bookmarkEnd w:id="13"/>
      <w:bookmarkEnd w:id="14"/>
      <w:bookmarkEnd w:id="15"/>
    </w:p>
    <w:p>
      <w:pPr>
        <w:spacing w:line="580" w:lineRule="exact"/>
        <w:ind w:firstLine="624" w:firstLineChars="200"/>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1. 抽查复核依据</w:t>
      </w:r>
    </w:p>
    <w:p>
      <w:pPr>
        <w:spacing w:line="580" w:lineRule="exact"/>
        <w:ind w:firstLine="624" w:firstLineChars="200"/>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本次绩效评价依据的财政相关文件包括《关于全面实施预算绩效管理的意见》（中发〔2018〕34号）、《关于印发&lt;项目支出绩效评价管理办法&gt;的通知》（财预〔2020〕10号）等文件精神。</w:t>
      </w:r>
    </w:p>
    <w:p>
      <w:pPr>
        <w:spacing w:line="580" w:lineRule="exact"/>
        <w:ind w:firstLine="624" w:firstLineChars="200"/>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2. 抽查复核方法</w:t>
      </w:r>
    </w:p>
    <w:p>
      <w:pPr>
        <w:spacing w:line="580" w:lineRule="exact"/>
        <w:ind w:firstLine="624" w:firstLineChars="200"/>
        <w:rPr>
          <w:rFonts w:ascii="仿宋_GB2312" w:hAnsi="楷体_GB2312" w:eastAsia="仿宋_GB2312" w:cs="楷体_GB2312"/>
          <w:spacing w:val="-4"/>
          <w:sz w:val="32"/>
          <w:szCs w:val="32"/>
        </w:rPr>
      </w:pPr>
      <w:bookmarkStart w:id="16" w:name="_Toc78653004"/>
      <w:r>
        <w:rPr>
          <w:rFonts w:hint="eastAsia" w:ascii="仿宋_GB2312" w:hAnsi="楷体_GB2312" w:eastAsia="仿宋_GB2312" w:cs="楷体_GB2312"/>
          <w:spacing w:val="-4"/>
          <w:sz w:val="32"/>
          <w:szCs w:val="32"/>
        </w:rPr>
        <w:t>为保证评价工作的科学性，根据预算部门及单位提供的材料，采取资料审核及现场勘查等方式抽查复核。</w:t>
      </w:r>
      <w:bookmarkEnd w:id="16"/>
    </w:p>
    <w:p>
      <w:pPr>
        <w:spacing w:line="580" w:lineRule="exact"/>
        <w:ind w:firstLine="624" w:firstLineChars="200"/>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3. 抽查复核标准</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24" w:firstLineChars="200"/>
        <w:jc w:val="left"/>
        <w:textAlignment w:val="auto"/>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根据《关于印发</w:t>
      </w:r>
      <w:r>
        <w:rPr>
          <w:rFonts w:hint="eastAsia" w:ascii="仿宋_GB2312" w:hAnsi="楷体_GB2312" w:eastAsia="仿宋_GB2312" w:cs="楷体_GB2312"/>
          <w:spacing w:val="-4"/>
          <w:sz w:val="32"/>
          <w:szCs w:val="32"/>
          <w:lang w:val="en-US" w:eastAsia="zh-CN"/>
        </w:rPr>
        <w:t>&lt;</w:t>
      </w:r>
      <w:r>
        <w:rPr>
          <w:rFonts w:hint="eastAsia" w:ascii="仿宋_GB2312" w:hAnsi="楷体_GB2312" w:eastAsia="仿宋_GB2312" w:cs="楷体_GB2312"/>
          <w:spacing w:val="-4"/>
          <w:sz w:val="32"/>
          <w:szCs w:val="32"/>
        </w:rPr>
        <w:t>青岛西海岸新区预算绩效管理结果应用暂行办法</w:t>
      </w:r>
      <w:r>
        <w:rPr>
          <w:rFonts w:hint="eastAsia" w:ascii="仿宋_GB2312" w:hAnsi="楷体_GB2312" w:eastAsia="仿宋_GB2312" w:cs="楷体_GB2312"/>
          <w:spacing w:val="-4"/>
          <w:sz w:val="32"/>
          <w:szCs w:val="32"/>
          <w:lang w:val="en-US" w:eastAsia="zh-CN"/>
        </w:rPr>
        <w:t>&gt;</w:t>
      </w:r>
      <w:r>
        <w:rPr>
          <w:rFonts w:hint="eastAsia" w:ascii="仿宋_GB2312" w:hAnsi="楷体_GB2312" w:eastAsia="仿宋_GB2312" w:cs="楷体_GB2312"/>
          <w:spacing w:val="-4"/>
          <w:sz w:val="32"/>
          <w:szCs w:val="32"/>
        </w:rPr>
        <w:t>的通知》</w:t>
      </w:r>
      <w:r>
        <w:rPr>
          <w:rFonts w:hint="eastAsia" w:ascii="仿宋_GB2312" w:hAnsi="楷体_GB2312" w:eastAsia="仿宋_GB2312" w:cs="楷体_GB2312"/>
          <w:spacing w:val="-4"/>
          <w:sz w:val="32"/>
          <w:szCs w:val="32"/>
          <w:lang w:val="en-US" w:eastAsia="zh-CN"/>
        </w:rPr>
        <w:t>(</w:t>
      </w:r>
      <w:r>
        <w:rPr>
          <w:rFonts w:hint="eastAsia" w:ascii="仿宋_GB2312" w:eastAsia="仿宋_GB2312"/>
          <w:sz w:val="32"/>
        </w:rPr>
        <w:t>青西新财〔2023〕225号</w:t>
      </w:r>
      <w:r>
        <w:rPr>
          <w:rFonts w:hint="eastAsia" w:ascii="仿宋_GB2312" w:hAnsi="楷体_GB2312" w:eastAsia="仿宋_GB2312" w:cs="楷体_GB2312"/>
          <w:spacing w:val="-4"/>
          <w:sz w:val="32"/>
          <w:szCs w:val="32"/>
          <w:lang w:val="en-US" w:eastAsia="zh-CN"/>
        </w:rPr>
        <w:t>)</w:t>
      </w:r>
      <w:r>
        <w:rPr>
          <w:rFonts w:hint="eastAsia" w:ascii="仿宋_GB2312" w:hAnsi="楷体_GB2312" w:eastAsia="仿宋_GB2312" w:cs="楷体_GB2312"/>
          <w:spacing w:val="-4"/>
          <w:sz w:val="32"/>
          <w:szCs w:val="32"/>
        </w:rPr>
        <w:t>，本次绩效评价综合绩效级别具体分为4个等级：</w:t>
      </w:r>
    </w:p>
    <w:p>
      <w:pPr>
        <w:autoSpaceDE w:val="0"/>
        <w:autoSpaceDN w:val="0"/>
        <w:adjustRightInd w:val="0"/>
        <w:spacing w:line="580" w:lineRule="exact"/>
        <w:ind w:firstLine="624" w:firstLineChars="200"/>
        <w:jc w:val="left"/>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综合得分在90分（含90分）以上为“</w:t>
      </w:r>
      <w:r>
        <w:rPr>
          <w:rFonts w:hint="eastAsia" w:ascii="仿宋_GB2312" w:hAnsi="楷体_GB2312" w:eastAsia="仿宋_GB2312" w:cs="楷体_GB2312"/>
          <w:spacing w:val="-4"/>
          <w:sz w:val="32"/>
          <w:szCs w:val="32"/>
          <w:lang w:val="en-US" w:eastAsia="zh-CN"/>
        </w:rPr>
        <w:t>A</w:t>
      </w:r>
      <w:r>
        <w:rPr>
          <w:rFonts w:hint="eastAsia" w:ascii="仿宋_GB2312" w:hAnsi="楷体_GB2312" w:eastAsia="仿宋_GB2312" w:cs="楷体_GB2312"/>
          <w:spacing w:val="-4"/>
          <w:sz w:val="32"/>
          <w:szCs w:val="32"/>
        </w:rPr>
        <w:t>”；</w:t>
      </w:r>
    </w:p>
    <w:p>
      <w:pPr>
        <w:autoSpaceDE w:val="0"/>
        <w:autoSpaceDN w:val="0"/>
        <w:adjustRightInd w:val="0"/>
        <w:spacing w:line="580" w:lineRule="exact"/>
        <w:ind w:firstLine="624" w:firstLineChars="200"/>
        <w:jc w:val="left"/>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综合得分在80～90分（含80分）为“</w:t>
      </w:r>
      <w:r>
        <w:rPr>
          <w:rFonts w:hint="eastAsia" w:ascii="仿宋_GB2312" w:hAnsi="楷体_GB2312" w:eastAsia="仿宋_GB2312" w:cs="楷体_GB2312"/>
          <w:spacing w:val="-4"/>
          <w:sz w:val="32"/>
          <w:szCs w:val="32"/>
          <w:lang w:val="en-US" w:eastAsia="zh-CN"/>
        </w:rPr>
        <w:t>B</w:t>
      </w:r>
      <w:r>
        <w:rPr>
          <w:rFonts w:hint="eastAsia" w:ascii="仿宋_GB2312" w:hAnsi="楷体_GB2312" w:eastAsia="仿宋_GB2312" w:cs="楷体_GB2312"/>
          <w:spacing w:val="-4"/>
          <w:sz w:val="32"/>
          <w:szCs w:val="32"/>
        </w:rPr>
        <w:t>”；</w:t>
      </w:r>
    </w:p>
    <w:p>
      <w:pPr>
        <w:autoSpaceDE w:val="0"/>
        <w:autoSpaceDN w:val="0"/>
        <w:adjustRightInd w:val="0"/>
        <w:spacing w:line="580" w:lineRule="exact"/>
        <w:ind w:firstLine="624" w:firstLineChars="200"/>
        <w:jc w:val="left"/>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综合得分在</w:t>
      </w:r>
      <w:r>
        <w:rPr>
          <w:rFonts w:hint="eastAsia" w:ascii="仿宋_GB2312" w:hAnsi="楷体_GB2312" w:eastAsia="仿宋_GB2312" w:cs="楷体_GB2312"/>
          <w:spacing w:val="-4"/>
          <w:sz w:val="32"/>
          <w:szCs w:val="32"/>
          <w:lang w:val="en-US" w:eastAsia="zh-CN"/>
        </w:rPr>
        <w:t>60</w:t>
      </w:r>
      <w:r>
        <w:rPr>
          <w:rFonts w:hint="eastAsia" w:ascii="仿宋_GB2312" w:hAnsi="楷体_GB2312" w:eastAsia="仿宋_GB2312" w:cs="楷体_GB2312"/>
          <w:spacing w:val="-4"/>
          <w:sz w:val="32"/>
          <w:szCs w:val="32"/>
        </w:rPr>
        <w:t>～80分（含</w:t>
      </w:r>
      <w:r>
        <w:rPr>
          <w:rFonts w:hint="eastAsia" w:ascii="仿宋_GB2312" w:hAnsi="楷体_GB2312" w:eastAsia="仿宋_GB2312" w:cs="楷体_GB2312"/>
          <w:spacing w:val="-4"/>
          <w:sz w:val="32"/>
          <w:szCs w:val="32"/>
          <w:lang w:val="en-US" w:eastAsia="zh-CN"/>
        </w:rPr>
        <w:t>6</w:t>
      </w:r>
      <w:r>
        <w:rPr>
          <w:rFonts w:hint="eastAsia" w:ascii="仿宋_GB2312" w:hAnsi="楷体_GB2312" w:eastAsia="仿宋_GB2312" w:cs="楷体_GB2312"/>
          <w:spacing w:val="-4"/>
          <w:sz w:val="32"/>
          <w:szCs w:val="32"/>
        </w:rPr>
        <w:t>0分）为“</w:t>
      </w:r>
      <w:r>
        <w:rPr>
          <w:rFonts w:hint="eastAsia" w:ascii="仿宋_GB2312" w:hAnsi="楷体_GB2312" w:eastAsia="仿宋_GB2312" w:cs="楷体_GB2312"/>
          <w:spacing w:val="-4"/>
          <w:sz w:val="32"/>
          <w:szCs w:val="32"/>
          <w:lang w:val="en-US" w:eastAsia="zh-CN"/>
        </w:rPr>
        <w:t>C</w:t>
      </w:r>
      <w:r>
        <w:rPr>
          <w:rFonts w:hint="eastAsia" w:ascii="仿宋_GB2312" w:hAnsi="楷体_GB2312" w:eastAsia="仿宋_GB2312" w:cs="楷体_GB2312"/>
          <w:spacing w:val="-4"/>
          <w:sz w:val="32"/>
          <w:szCs w:val="32"/>
        </w:rPr>
        <w:t>”；</w:t>
      </w:r>
    </w:p>
    <w:p>
      <w:pPr>
        <w:autoSpaceDE w:val="0"/>
        <w:autoSpaceDN w:val="0"/>
        <w:adjustRightInd w:val="0"/>
        <w:spacing w:line="580" w:lineRule="exact"/>
        <w:ind w:firstLine="624" w:firstLineChars="200"/>
        <w:jc w:val="left"/>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综合得分在</w:t>
      </w:r>
      <w:r>
        <w:rPr>
          <w:rFonts w:hint="eastAsia" w:ascii="仿宋_GB2312" w:hAnsi="楷体_GB2312" w:eastAsia="仿宋_GB2312" w:cs="楷体_GB2312"/>
          <w:spacing w:val="-4"/>
          <w:sz w:val="32"/>
          <w:szCs w:val="32"/>
          <w:lang w:val="en-US" w:eastAsia="zh-CN"/>
        </w:rPr>
        <w:t>60</w:t>
      </w:r>
      <w:r>
        <w:rPr>
          <w:rFonts w:hint="eastAsia" w:ascii="仿宋_GB2312" w:hAnsi="楷体_GB2312" w:eastAsia="仿宋_GB2312" w:cs="楷体_GB2312"/>
          <w:spacing w:val="-4"/>
          <w:sz w:val="32"/>
          <w:szCs w:val="32"/>
        </w:rPr>
        <w:t>分以下为“</w:t>
      </w:r>
      <w:r>
        <w:rPr>
          <w:rFonts w:hint="eastAsia" w:ascii="仿宋_GB2312" w:hAnsi="楷体_GB2312" w:eastAsia="仿宋_GB2312" w:cs="楷体_GB2312"/>
          <w:spacing w:val="-4"/>
          <w:sz w:val="32"/>
          <w:szCs w:val="32"/>
          <w:lang w:val="en-US" w:eastAsia="zh-CN"/>
        </w:rPr>
        <w:t>D</w:t>
      </w:r>
      <w:r>
        <w:rPr>
          <w:rFonts w:hint="eastAsia" w:ascii="仿宋_GB2312" w:hAnsi="楷体_GB2312" w:eastAsia="仿宋_GB2312" w:cs="楷体_GB2312"/>
          <w:spacing w:val="-4"/>
          <w:sz w:val="32"/>
          <w:szCs w:val="32"/>
        </w:rPr>
        <w:t>”。</w:t>
      </w:r>
    </w:p>
    <w:p>
      <w:pPr>
        <w:spacing w:line="580" w:lineRule="exact"/>
        <w:ind w:firstLine="640" w:firstLineChars="200"/>
        <w:outlineLvl w:val="0"/>
        <w:rPr>
          <w:rFonts w:ascii="黑体" w:hAnsi="黑体" w:eastAsia="黑体" w:cs="黑体"/>
          <w:sz w:val="32"/>
          <w:szCs w:val="32"/>
        </w:rPr>
      </w:pPr>
      <w:bookmarkStart w:id="17" w:name="_Toc17066"/>
      <w:bookmarkStart w:id="18" w:name="_Toc3191"/>
      <w:bookmarkStart w:id="19" w:name="_Toc12238"/>
      <w:bookmarkStart w:id="20" w:name="_Toc28438"/>
      <w:r>
        <w:rPr>
          <w:rFonts w:hint="eastAsia" w:ascii="黑体" w:hAnsi="黑体" w:eastAsia="黑体" w:cs="黑体"/>
          <w:sz w:val="32"/>
          <w:szCs w:val="32"/>
        </w:rPr>
        <w:t>二、绩效自评开展情况</w:t>
      </w:r>
      <w:bookmarkEnd w:id="17"/>
      <w:bookmarkEnd w:id="18"/>
      <w:bookmarkEnd w:id="19"/>
      <w:bookmarkEnd w:id="20"/>
    </w:p>
    <w:p>
      <w:pPr>
        <w:autoSpaceDE w:val="0"/>
        <w:autoSpaceDN w:val="0"/>
        <w:adjustRightInd w:val="0"/>
        <w:spacing w:line="580" w:lineRule="exact"/>
        <w:ind w:firstLine="624" w:firstLineChars="200"/>
        <w:jc w:val="left"/>
        <w:outlineLvl w:val="1"/>
        <w:rPr>
          <w:rFonts w:ascii="楷体_GB2312" w:hAnsi="楷体_GB2312" w:eastAsia="楷体_GB2312" w:cs="楷体_GB2312"/>
          <w:spacing w:val="-4"/>
          <w:sz w:val="32"/>
          <w:szCs w:val="32"/>
        </w:rPr>
      </w:pPr>
      <w:bookmarkStart w:id="21" w:name="_Toc16329"/>
      <w:bookmarkStart w:id="22" w:name="_Toc13477"/>
      <w:bookmarkStart w:id="23" w:name="_Toc5665"/>
      <w:bookmarkStart w:id="24" w:name="_Toc26575"/>
      <w:r>
        <w:rPr>
          <w:rFonts w:hint="eastAsia" w:ascii="楷体_GB2312" w:hAnsi="楷体_GB2312" w:eastAsia="楷体_GB2312" w:cs="楷体_GB2312"/>
          <w:spacing w:val="-4"/>
          <w:sz w:val="32"/>
          <w:szCs w:val="32"/>
        </w:rPr>
        <w:t>（一）绩效自评整体情况（单位自评情况，不是抽查复核情况）</w:t>
      </w:r>
      <w:bookmarkEnd w:id="21"/>
      <w:bookmarkEnd w:id="22"/>
      <w:bookmarkEnd w:id="23"/>
      <w:bookmarkEnd w:id="24"/>
    </w:p>
    <w:p>
      <w:pPr>
        <w:autoSpaceDE w:val="0"/>
        <w:autoSpaceDN w:val="0"/>
        <w:adjustRightInd w:val="0"/>
        <w:spacing w:line="580" w:lineRule="exact"/>
        <w:ind w:firstLine="624" w:firstLineChars="200"/>
        <w:jc w:val="left"/>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绩效自评完整、规范、及时报送、及时审核；总得分为99.94分，评价等级为“优”。年初预算34万元，实际支出33.78万元，得分9.94分；绩效目标三级指标9个，完成9个。</w:t>
      </w:r>
    </w:p>
    <w:p>
      <w:pPr>
        <w:numPr>
          <w:ilvl w:val="0"/>
          <w:numId w:val="1"/>
        </w:numPr>
        <w:autoSpaceDE w:val="0"/>
        <w:autoSpaceDN w:val="0"/>
        <w:adjustRightInd w:val="0"/>
        <w:spacing w:line="580" w:lineRule="exact"/>
        <w:ind w:firstLine="624" w:firstLineChars="200"/>
        <w:jc w:val="left"/>
        <w:outlineLvl w:val="1"/>
        <w:rPr>
          <w:rFonts w:hint="eastAsia" w:ascii="楷体_GB2312" w:hAnsi="楷体_GB2312" w:eastAsia="楷体_GB2312" w:cs="楷体_GB2312"/>
          <w:spacing w:val="-4"/>
          <w:sz w:val="32"/>
          <w:szCs w:val="32"/>
        </w:rPr>
      </w:pPr>
      <w:bookmarkStart w:id="25" w:name="_Toc8801"/>
      <w:bookmarkStart w:id="26" w:name="_Toc23927"/>
      <w:bookmarkStart w:id="27" w:name="_Toc14915"/>
      <w:bookmarkStart w:id="28" w:name="_Toc10272"/>
      <w:r>
        <w:rPr>
          <w:rFonts w:hint="eastAsia" w:ascii="楷体_GB2312" w:hAnsi="楷体_GB2312" w:eastAsia="楷体_GB2312" w:cs="楷体_GB2312"/>
          <w:spacing w:val="-4"/>
          <w:sz w:val="32"/>
          <w:szCs w:val="32"/>
        </w:rPr>
        <w:t>主要成效</w:t>
      </w:r>
      <w:bookmarkEnd w:id="25"/>
      <w:bookmarkEnd w:id="26"/>
      <w:bookmarkEnd w:id="27"/>
      <w:bookmarkEnd w:id="28"/>
    </w:p>
    <w:p>
      <w:pPr>
        <w:autoSpaceDE w:val="0"/>
        <w:autoSpaceDN w:val="0"/>
        <w:adjustRightInd w:val="0"/>
        <w:spacing w:line="580" w:lineRule="exact"/>
        <w:ind w:firstLine="624" w:firstLineChars="200"/>
        <w:jc w:val="left"/>
        <w:rPr>
          <w:rFonts w:hint="eastAsia"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lang w:val="en-US" w:eastAsia="zh-CN"/>
        </w:rPr>
        <w:t>1.</w:t>
      </w:r>
      <w:r>
        <w:rPr>
          <w:rFonts w:hint="eastAsia" w:ascii="仿宋_GB2312" w:hAnsi="楷体_GB2312" w:eastAsia="仿宋_GB2312" w:cs="楷体_GB2312"/>
          <w:spacing w:val="-4"/>
          <w:sz w:val="32"/>
          <w:szCs w:val="32"/>
        </w:rPr>
        <w:t>运维工作全面落地，系统设备运行稳定。全年完成3套档案管理系统共计7次日常数据维护，超额完成不少于4次的年度目标；计算机中心设备、查档服务器、磁盘阵列等硬件设施全年正常运转率100%，系统故障均在</w:t>
      </w:r>
      <w:r>
        <w:rPr>
          <w:rFonts w:hint="eastAsia" w:ascii="仿宋_GB2312" w:hAnsi="楷体_GB2312" w:eastAsia="仿宋_GB2312" w:cs="楷体_GB2312"/>
          <w:spacing w:val="-4"/>
          <w:sz w:val="32"/>
          <w:szCs w:val="32"/>
          <w:lang w:val="en-US" w:eastAsia="zh-CN"/>
        </w:rPr>
        <w:t>24</w:t>
      </w:r>
      <w:r>
        <w:rPr>
          <w:rFonts w:hint="eastAsia" w:ascii="仿宋_GB2312" w:hAnsi="楷体_GB2312" w:eastAsia="仿宋_GB2312" w:cs="楷体_GB2312"/>
          <w:spacing w:val="-4"/>
          <w:sz w:val="32"/>
          <w:szCs w:val="32"/>
        </w:rPr>
        <w:t>小时内响应处置，保障档案信息化平台持续稳定运行。</w:t>
      </w:r>
    </w:p>
    <w:p>
      <w:pPr>
        <w:autoSpaceDE w:val="0"/>
        <w:autoSpaceDN w:val="0"/>
        <w:adjustRightInd w:val="0"/>
        <w:spacing w:line="580" w:lineRule="exact"/>
        <w:ind w:firstLine="624" w:firstLineChars="200"/>
        <w:jc w:val="left"/>
        <w:rPr>
          <w:rFonts w:hint="eastAsia"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lang w:val="en-US" w:eastAsia="zh-CN"/>
        </w:rPr>
        <w:t>2.</w:t>
      </w:r>
      <w:r>
        <w:rPr>
          <w:rFonts w:hint="eastAsia" w:ascii="仿宋_GB2312" w:hAnsi="楷体_GB2312" w:eastAsia="仿宋_GB2312" w:cs="楷体_GB2312"/>
          <w:spacing w:val="-4"/>
          <w:sz w:val="32"/>
          <w:szCs w:val="32"/>
        </w:rPr>
        <w:t>数据安全保障到位，档案管理有序开展。按要求完成年度数据异地备份工作，有效防范数据丢失、损毁风险，筑牢档案数据安全防线，保障全区档案管理业务正常运转。</w:t>
      </w:r>
    </w:p>
    <w:p>
      <w:pPr>
        <w:autoSpaceDE w:val="0"/>
        <w:autoSpaceDN w:val="0"/>
        <w:adjustRightInd w:val="0"/>
        <w:spacing w:line="580" w:lineRule="exact"/>
        <w:ind w:firstLine="624" w:firstLineChars="200"/>
        <w:jc w:val="left"/>
        <w:rPr>
          <w:rFonts w:hint="eastAsia"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lang w:val="en-US" w:eastAsia="zh-CN"/>
        </w:rPr>
        <w:t>3.</w:t>
      </w:r>
      <w:r>
        <w:rPr>
          <w:rFonts w:hint="eastAsia" w:ascii="仿宋_GB2312" w:hAnsi="楷体_GB2312" w:eastAsia="仿宋_GB2312" w:cs="楷体_GB2312"/>
          <w:spacing w:val="-4"/>
          <w:sz w:val="32"/>
          <w:szCs w:val="32"/>
        </w:rPr>
        <w:t>资金管控规范，执行效率较高。项目全年支出33.78万元，严格控制在34万元预算范围内，资金使用合规，无挤占、挪用、虚列支出等问题，财政资金使用效率良好。</w:t>
      </w:r>
    </w:p>
    <w:p>
      <w:pPr>
        <w:autoSpaceDE w:val="0"/>
        <w:autoSpaceDN w:val="0"/>
        <w:adjustRightInd w:val="0"/>
        <w:spacing w:line="580" w:lineRule="exact"/>
        <w:ind w:firstLine="624" w:firstLineChars="200"/>
        <w:jc w:val="left"/>
        <w:rPr>
          <w:rFonts w:hint="eastAsia"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lang w:val="en-US" w:eastAsia="zh-CN"/>
        </w:rPr>
        <w:t>4.</w:t>
      </w:r>
      <w:r>
        <w:rPr>
          <w:rFonts w:hint="eastAsia" w:ascii="仿宋_GB2312" w:hAnsi="楷体_GB2312" w:eastAsia="仿宋_GB2312" w:cs="楷体_GB2312"/>
          <w:spacing w:val="-4"/>
          <w:sz w:val="32"/>
          <w:szCs w:val="32"/>
        </w:rPr>
        <w:t>服务满意度较高，社会效益良好。经调查，设备及平台使用者满意度达99%，高于90%的既定目标，运维服务得到使用人员认可，有效提升档案信息化服务水平。</w:t>
      </w:r>
    </w:p>
    <w:p>
      <w:pPr>
        <w:spacing w:line="580" w:lineRule="exact"/>
        <w:ind w:firstLine="640" w:firstLineChars="200"/>
        <w:outlineLvl w:val="0"/>
        <w:rPr>
          <w:rFonts w:ascii="黑体" w:hAnsi="黑体" w:eastAsia="黑体" w:cs="黑体"/>
          <w:sz w:val="32"/>
          <w:szCs w:val="32"/>
        </w:rPr>
      </w:pPr>
      <w:bookmarkStart w:id="29" w:name="_Toc5430"/>
      <w:bookmarkStart w:id="30" w:name="_Toc19161"/>
      <w:bookmarkStart w:id="31" w:name="_Toc23295"/>
      <w:bookmarkStart w:id="32" w:name="_Toc16284"/>
      <w:r>
        <w:rPr>
          <w:rFonts w:hint="eastAsia" w:ascii="黑体" w:hAnsi="黑体" w:eastAsia="黑体" w:cs="黑体"/>
          <w:sz w:val="32"/>
          <w:szCs w:val="32"/>
        </w:rPr>
        <w:t>三、绩效自评抽查复核情况</w:t>
      </w:r>
      <w:bookmarkEnd w:id="29"/>
      <w:bookmarkEnd w:id="30"/>
      <w:bookmarkEnd w:id="31"/>
      <w:bookmarkEnd w:id="32"/>
    </w:p>
    <w:p>
      <w:pPr>
        <w:tabs>
          <w:tab w:val="left" w:pos="7230"/>
          <w:tab w:val="left" w:pos="7938"/>
        </w:tabs>
        <w:ind w:firstLine="640" w:firstLineChars="200"/>
        <w:jc w:val="left"/>
        <w:outlineLvl w:val="1"/>
        <w:rPr>
          <w:rFonts w:ascii="楷体_GB2312" w:hAnsi="楷体_GB2312" w:eastAsia="楷体_GB2312" w:cs="楷体_GB2312"/>
          <w:bCs/>
          <w:spacing w:val="-4"/>
          <w:sz w:val="32"/>
          <w:szCs w:val="32"/>
        </w:rPr>
      </w:pPr>
      <w:bookmarkStart w:id="33" w:name="_Toc23965"/>
      <w:bookmarkStart w:id="34" w:name="_Toc31627"/>
      <w:bookmarkStart w:id="35" w:name="_Toc13544"/>
      <w:bookmarkStart w:id="36" w:name="_Toc20219"/>
      <w:r>
        <w:rPr>
          <w:rFonts w:hint="eastAsia" w:ascii="楷体_GB2312" w:hAnsi="楷体_GB2312" w:eastAsia="楷体_GB2312" w:cs="楷体_GB2312"/>
          <w:sz w:val="32"/>
          <w:szCs w:val="32"/>
        </w:rPr>
        <w:t>（一）自评和抽查复核评分结果差异率分析</w:t>
      </w:r>
      <w:bookmarkEnd w:id="33"/>
      <w:bookmarkEnd w:id="34"/>
      <w:bookmarkEnd w:id="35"/>
      <w:bookmarkEnd w:id="36"/>
    </w:p>
    <w:p>
      <w:pPr>
        <w:tabs>
          <w:tab w:val="left" w:pos="7230"/>
          <w:tab w:val="left" w:pos="7938"/>
        </w:tabs>
        <w:ind w:firstLine="643" w:firstLineChars="200"/>
        <w:jc w:val="lef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1.差异率整体情况</w:t>
      </w:r>
    </w:p>
    <w:p>
      <w:pPr>
        <w:tabs>
          <w:tab w:val="left" w:pos="7230"/>
          <w:tab w:val="left" w:pos="7938"/>
        </w:tabs>
        <w:ind w:firstLine="624" w:firstLineChars="200"/>
        <w:jc w:val="left"/>
        <w:rPr>
          <w:rFonts w:hint="eastAsia"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区档案馆计算机中心及档案管理平台运维费等项目绩效自评得分为99.94分，复核得分为94.74分，</w:t>
      </w:r>
      <w:r>
        <w:rPr>
          <w:rFonts w:hint="eastAsia" w:ascii="仿宋_GB2312" w:hAnsi="楷体_GB2312" w:eastAsia="仿宋_GB2312" w:cs="楷体_GB2312"/>
          <w:spacing w:val="-4"/>
          <w:sz w:val="32"/>
          <w:szCs w:val="32"/>
          <w:highlight w:val="none"/>
        </w:rPr>
        <w:t>差异值为</w:t>
      </w:r>
      <w:r>
        <w:rPr>
          <w:rFonts w:hint="eastAsia" w:ascii="仿宋_GB2312" w:hAnsi="楷体_GB2312" w:eastAsia="仿宋_GB2312" w:cs="楷体_GB2312"/>
          <w:spacing w:val="-4"/>
          <w:sz w:val="32"/>
          <w:szCs w:val="32"/>
          <w:highlight w:val="none"/>
          <w:lang w:val="en-US" w:eastAsia="zh-CN"/>
        </w:rPr>
        <w:t>5.2分</w:t>
      </w:r>
      <w:r>
        <w:rPr>
          <w:rFonts w:hint="eastAsia" w:ascii="仿宋_GB2312" w:hAnsi="楷体_GB2312" w:eastAsia="仿宋_GB2312" w:cs="楷体_GB2312"/>
          <w:spacing w:val="-4"/>
          <w:sz w:val="32"/>
          <w:szCs w:val="32"/>
          <w:highlight w:val="none"/>
        </w:rPr>
        <w:t>，差异率为</w:t>
      </w:r>
      <w:r>
        <w:rPr>
          <w:rFonts w:hint="eastAsia" w:ascii="仿宋_GB2312" w:hAnsi="楷体_GB2312" w:eastAsia="仿宋_GB2312" w:cs="楷体_GB2312"/>
          <w:spacing w:val="-4"/>
          <w:sz w:val="32"/>
          <w:szCs w:val="32"/>
          <w:highlight w:val="none"/>
          <w:lang w:val="en-US" w:eastAsia="zh-CN"/>
        </w:rPr>
        <w:t>-5.2</w:t>
      </w:r>
      <w:r>
        <w:rPr>
          <w:rFonts w:hint="eastAsia" w:ascii="仿宋_GB2312" w:hAnsi="楷体_GB2312" w:eastAsia="仿宋_GB2312" w:cs="楷体_GB2312"/>
          <w:spacing w:val="-4"/>
          <w:sz w:val="32"/>
          <w:szCs w:val="32"/>
          <w:highlight w:val="none"/>
        </w:rPr>
        <w:t>%。</w:t>
      </w:r>
      <w:bookmarkStart w:id="42" w:name="_GoBack"/>
      <w:bookmarkEnd w:id="42"/>
    </w:p>
    <w:p>
      <w:pPr>
        <w:tabs>
          <w:tab w:val="left" w:pos="7230"/>
          <w:tab w:val="left" w:pos="7938"/>
        </w:tabs>
        <w:ind w:firstLine="643" w:firstLineChars="200"/>
        <w:jc w:val="lef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2.差异率主要原因</w:t>
      </w:r>
    </w:p>
    <w:p>
      <w:pPr>
        <w:tabs>
          <w:tab w:val="left" w:pos="7230"/>
          <w:tab w:val="left" w:pos="7938"/>
        </w:tabs>
        <w:ind w:firstLine="624" w:firstLineChars="200"/>
        <w:jc w:val="left"/>
        <w:outlineLvl w:val="1"/>
        <w:rPr>
          <w:rFonts w:hint="eastAsia" w:ascii="仿宋_GB2312" w:hAnsi="楷体_GB2312" w:eastAsia="仿宋_GB2312" w:cs="楷体_GB2312"/>
          <w:spacing w:val="-4"/>
          <w:sz w:val="32"/>
          <w:szCs w:val="32"/>
          <w:highlight w:val="none"/>
          <w:lang w:eastAsia="zh-CN"/>
        </w:rPr>
      </w:pPr>
      <w:bookmarkStart w:id="37" w:name="_Toc10063"/>
      <w:r>
        <w:rPr>
          <w:rFonts w:hint="eastAsia" w:ascii="仿宋_GB2312" w:hAnsi="楷体_GB2312" w:eastAsia="仿宋_GB2312" w:cs="楷体_GB2312"/>
          <w:spacing w:val="-4"/>
          <w:sz w:val="32"/>
          <w:szCs w:val="32"/>
          <w:highlight w:val="none"/>
        </w:rPr>
        <w:t>单位运维专项管理制度不完善，过程管理薄弱</w:t>
      </w:r>
      <w:r>
        <w:rPr>
          <w:rFonts w:hint="eastAsia" w:ascii="仿宋_GB2312" w:hAnsi="楷体_GB2312" w:eastAsia="仿宋_GB2312" w:cs="楷体_GB2312"/>
          <w:spacing w:val="-4"/>
          <w:sz w:val="32"/>
          <w:szCs w:val="32"/>
          <w:highlight w:val="none"/>
          <w:lang w:eastAsia="zh-CN"/>
        </w:rPr>
        <w:t>。</w:t>
      </w:r>
    </w:p>
    <w:p>
      <w:pPr>
        <w:tabs>
          <w:tab w:val="left" w:pos="7230"/>
          <w:tab w:val="left" w:pos="7938"/>
        </w:tabs>
        <w:ind w:firstLine="640" w:firstLineChars="200"/>
        <w:jc w:val="left"/>
        <w:outlineLvl w:val="1"/>
        <w:rPr>
          <w:rFonts w:ascii="楷体_GB2312" w:hAnsi="楷体_GB2312" w:eastAsia="楷体_GB2312" w:cs="楷体_GB2312"/>
          <w:sz w:val="32"/>
          <w:szCs w:val="32"/>
        </w:rPr>
      </w:pPr>
      <w:r>
        <w:rPr>
          <w:rFonts w:hint="eastAsia" w:ascii="楷体_GB2312" w:hAnsi="楷体_GB2312" w:eastAsia="楷体_GB2312" w:cs="楷体_GB2312"/>
          <w:sz w:val="32"/>
          <w:szCs w:val="32"/>
        </w:rPr>
        <w:t>（二）抽查复核发现的问题</w:t>
      </w:r>
      <w:bookmarkEnd w:id="37"/>
    </w:p>
    <w:p>
      <w:pPr>
        <w:spacing w:line="580" w:lineRule="exact"/>
        <w:ind w:firstLine="624" w:firstLineChars="200"/>
        <w:rPr>
          <w:rFonts w:ascii="仿宋_GB2312" w:hAnsi="楷体_GB2312" w:eastAsia="仿宋_GB2312" w:cs="楷体_GB2312"/>
          <w:spacing w:val="-4"/>
          <w:sz w:val="32"/>
          <w:szCs w:val="32"/>
        </w:rPr>
      </w:pPr>
      <w:bookmarkStart w:id="38" w:name="_Toc10337"/>
      <w:bookmarkStart w:id="39" w:name="_Toc23943"/>
      <w:bookmarkStart w:id="40" w:name="_Toc23144"/>
      <w:bookmarkStart w:id="41" w:name="_Toc19466"/>
      <w:r>
        <w:rPr>
          <w:rFonts w:hint="eastAsia" w:ascii="仿宋_GB2312" w:hAnsi="楷体_GB2312" w:eastAsia="仿宋_GB2312" w:cs="楷体_GB2312"/>
          <w:spacing w:val="-4"/>
          <w:sz w:val="32"/>
          <w:szCs w:val="32"/>
        </w:rPr>
        <w:t>绩效目标信息填报规范，报送、审核及时，目标编制合理，能够较好的完成绩效目标，无其他问题。</w:t>
      </w:r>
    </w:p>
    <w:p>
      <w:pPr>
        <w:spacing w:line="580" w:lineRule="exact"/>
        <w:ind w:firstLine="640" w:firstLineChars="200"/>
        <w:outlineLvl w:val="0"/>
        <w:rPr>
          <w:rFonts w:ascii="黑体" w:hAnsi="黑体" w:eastAsia="黑体" w:cs="黑体"/>
          <w:sz w:val="32"/>
          <w:szCs w:val="32"/>
        </w:rPr>
      </w:pPr>
      <w:r>
        <w:rPr>
          <w:rFonts w:hint="eastAsia" w:ascii="黑体" w:hAnsi="黑体" w:eastAsia="黑体" w:cs="黑体"/>
          <w:sz w:val="32"/>
          <w:szCs w:val="32"/>
        </w:rPr>
        <w:t>四、意见建议</w:t>
      </w:r>
      <w:bookmarkEnd w:id="38"/>
      <w:bookmarkEnd w:id="39"/>
      <w:bookmarkEnd w:id="40"/>
      <w:bookmarkEnd w:id="41"/>
    </w:p>
    <w:p>
      <w:pPr>
        <w:spacing w:line="580" w:lineRule="exact"/>
        <w:ind w:firstLine="624" w:firstLineChars="200"/>
        <w:rPr>
          <w:rFonts w:ascii="仿宋_GB2312" w:hAnsi="仿宋_GB2312" w:eastAsia="仿宋_GB2312" w:cs="仿宋_GB2312"/>
          <w:sz w:val="32"/>
          <w:szCs w:val="32"/>
        </w:rPr>
      </w:pPr>
      <w:r>
        <w:rPr>
          <w:rFonts w:hint="eastAsia" w:ascii="仿宋" w:hAnsi="仿宋" w:eastAsia="仿宋" w:cs="仿宋"/>
          <w:spacing w:val="-4"/>
          <w:sz w:val="32"/>
          <w:szCs w:val="32"/>
        </w:rPr>
        <w:t>严格执行预算，提高预算执行的准确度，以实现财政资金运行和预算管理效益的最大化。</w:t>
      </w:r>
    </w:p>
    <w:p>
      <w:pPr>
        <w:spacing w:line="580" w:lineRule="exact"/>
        <w:ind w:left="640"/>
        <w:rPr>
          <w:rFonts w:ascii="仿宋_GB2312" w:hAnsi="仿宋_GB2312" w:eastAsia="仿宋_GB2312" w:cs="仿宋_GB2312"/>
          <w:sz w:val="32"/>
          <w:szCs w:val="32"/>
        </w:rPr>
      </w:pPr>
    </w:p>
    <w:p>
      <w:pPr>
        <w:spacing w:line="580" w:lineRule="exact"/>
        <w:ind w:left="640"/>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年度计算机中心及档案管理平台运维费等资金单位自评抽查复核差异率统计表</w:t>
      </w:r>
    </w:p>
    <w:sectPr>
      <w:footerReference r:id="rId4" w:type="default"/>
      <w:pgSz w:w="11906" w:h="16838"/>
      <w:pgMar w:top="2098" w:right="1417" w:bottom="1871" w:left="1531" w:header="851" w:footer="992" w:gutter="0"/>
      <w:pgNumType w:start="1"/>
      <w:cols w:space="0"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文星简黑体">
    <w:altName w:val="方正黑体_GBK"/>
    <w:panose1 w:val="00000000000000000000"/>
    <w:charset w:val="86"/>
    <w:family w:val="roma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76200" cy="131445"/>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76200" cy="131445"/>
                      </a:xfrm>
                      <a:prstGeom prst="rect">
                        <a:avLst/>
                      </a:prstGeom>
                      <a:noFill/>
                      <a:ln>
                        <a:noFill/>
                      </a:ln>
                      <a:effectLst/>
                    </wps:spPr>
                    <wps:txbx>
                      <w:txbxContent>
                        <w:p>
                          <w:pPr>
                            <w:pStyle w:val="8"/>
                            <w:rPr>
                              <w:rFonts w:eastAsia="仿宋_GB2312"/>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6pt;mso-position-horizontal:center;mso-position-horizontal-relative:margin;mso-wrap-style:none;z-index:251660288;mso-width-relative:page;mso-height-relative:page;" filled="f" stroked="f" coordsize="21600,21600" o:gfxdata="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NDs&#10;NinPAAAAAwEAAA8AAAAAAAAAAQAgAAAAIgAAAGRycy9kb3ducmV2LnhtbFBLAQIUABQAAAAIAIdO&#10;4kCS/sXb8wEAAMEDAAAOAAAAAAAAAAEAIAAAAB4BAABkcnMvZTJvRG9jLnhtbFBLBQYAAAAABgAG&#10;AFkBAACDBQAAAAA=&#10;">
              <v:fill on="f" focussize="0,0"/>
              <v:stroke on="f"/>
              <v:imagedata o:title=""/>
              <o:lock v:ext="edit" aspectratio="f"/>
              <v:textbox inset="0mm,0mm,0mm,0mm" style="mso-fit-shape-to-text:t;">
                <w:txbxContent>
                  <w:p>
                    <w:pPr>
                      <w:pStyle w:val="8"/>
                      <w:rPr>
                        <w:rFonts w:eastAsia="仿宋_GB2312"/>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sdt>
                          <w:sdtPr>
                            <w:id w:val="2009340"/>
                          </w:sdtPr>
                          <w:sdtContent>
                            <w:p>
                              <w:pPr>
                                <w:pStyle w:val="8"/>
                                <w:jc w:val="center"/>
                              </w:pPr>
                              <w:r>
                                <w:fldChar w:fldCharType="begin"/>
                              </w:r>
                              <w:r>
                                <w:instrText xml:space="preserve"> PAGE   \* MERGEFORMAT </w:instrText>
                              </w:r>
                              <w:r>
                                <w:fldChar w:fldCharType="separate"/>
                              </w:r>
                              <w:r>
                                <w:rPr>
                                  <w:lang w:val="zh-CN"/>
                                </w:rPr>
                                <w:t>3</w:t>
                              </w:r>
                              <w:r>
                                <w:rPr>
                                  <w:lang w:val="zh-CN"/>
                                </w:rPr>
                                <w:fldChar w:fldCharType="end"/>
                              </w:r>
                            </w:p>
                          </w:sdtContent>
                        </w:sdt>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RKK3568BAABQ&#10;AwAADgAAAAAAAAABACAAAAAeAQAAZHJzL2Uyb0RvYy54bWxQSwUGAAAAAAYABgBZAQAAPwUAAAAA&#10;">
              <v:fill on="f" focussize="0,0"/>
              <v:stroke on="f"/>
              <v:imagedata o:title=""/>
              <o:lock v:ext="edit" aspectratio="f"/>
              <v:textbox inset="0mm,0mm,0mm,0mm" style="mso-fit-shape-to-text:t;">
                <w:txbxContent>
                  <w:sdt>
                    <w:sdtPr>
                      <w:id w:val="2009340"/>
                    </w:sdtPr>
                    <w:sdtContent>
                      <w:p>
                        <w:pPr>
                          <w:pStyle w:val="8"/>
                          <w:jc w:val="center"/>
                        </w:pPr>
                        <w:r>
                          <w:fldChar w:fldCharType="begin"/>
                        </w:r>
                        <w:r>
                          <w:instrText xml:space="preserve"> PAGE   \* MERGEFORMAT </w:instrText>
                        </w:r>
                        <w:r>
                          <w:fldChar w:fldCharType="separate"/>
                        </w:r>
                        <w:r>
                          <w:rPr>
                            <w:lang w:val="zh-CN"/>
                          </w:rPr>
                          <w:t>3</w:t>
                        </w:r>
                        <w:r>
                          <w:rPr>
                            <w:lang w:val="zh-CN"/>
                          </w:rPr>
                          <w:fldChar w:fldCharType="end"/>
                        </w:r>
                      </w:p>
                    </w:sdtContent>
                  </w:sdt>
                  <w:p/>
                </w:txbxContent>
              </v:textbox>
            </v:shape>
          </w:pict>
        </mc:Fallback>
      </mc:AlternateContent>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12162"/>
    <w:multiLevelType w:val="singleLevel"/>
    <w:tmpl w:val="2041216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6"/>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E0A"/>
    <w:rsid w:val="00010727"/>
    <w:rsid w:val="00014EA2"/>
    <w:rsid w:val="0003589F"/>
    <w:rsid w:val="00043DF3"/>
    <w:rsid w:val="000563D5"/>
    <w:rsid w:val="000577B9"/>
    <w:rsid w:val="000636F9"/>
    <w:rsid w:val="0006647B"/>
    <w:rsid w:val="000737AA"/>
    <w:rsid w:val="000801F1"/>
    <w:rsid w:val="0008748A"/>
    <w:rsid w:val="0009575E"/>
    <w:rsid w:val="00095B50"/>
    <w:rsid w:val="000A40EE"/>
    <w:rsid w:val="000B1D08"/>
    <w:rsid w:val="000C3C1B"/>
    <w:rsid w:val="000D3373"/>
    <w:rsid w:val="001135BA"/>
    <w:rsid w:val="001206F0"/>
    <w:rsid w:val="0012565A"/>
    <w:rsid w:val="0015068A"/>
    <w:rsid w:val="00152A35"/>
    <w:rsid w:val="00161D22"/>
    <w:rsid w:val="00174BA7"/>
    <w:rsid w:val="00176583"/>
    <w:rsid w:val="00183181"/>
    <w:rsid w:val="0018610B"/>
    <w:rsid w:val="001B2FB5"/>
    <w:rsid w:val="001B3197"/>
    <w:rsid w:val="001D1D99"/>
    <w:rsid w:val="001E3E39"/>
    <w:rsid w:val="002048EB"/>
    <w:rsid w:val="00225BA4"/>
    <w:rsid w:val="00237242"/>
    <w:rsid w:val="002468EB"/>
    <w:rsid w:val="0026070A"/>
    <w:rsid w:val="00273295"/>
    <w:rsid w:val="002813FC"/>
    <w:rsid w:val="00283E33"/>
    <w:rsid w:val="00290E2D"/>
    <w:rsid w:val="00290F07"/>
    <w:rsid w:val="002957FC"/>
    <w:rsid w:val="0029636A"/>
    <w:rsid w:val="002A1998"/>
    <w:rsid w:val="002A1C20"/>
    <w:rsid w:val="002A61F2"/>
    <w:rsid w:val="002B51FD"/>
    <w:rsid w:val="002C3530"/>
    <w:rsid w:val="002C6E0A"/>
    <w:rsid w:val="002C7185"/>
    <w:rsid w:val="002C7FB7"/>
    <w:rsid w:val="002E5A6B"/>
    <w:rsid w:val="002F2930"/>
    <w:rsid w:val="002F544F"/>
    <w:rsid w:val="00310B92"/>
    <w:rsid w:val="00313DFD"/>
    <w:rsid w:val="00324D55"/>
    <w:rsid w:val="003517B5"/>
    <w:rsid w:val="003536DF"/>
    <w:rsid w:val="00360AFD"/>
    <w:rsid w:val="00393121"/>
    <w:rsid w:val="0039481A"/>
    <w:rsid w:val="003A6426"/>
    <w:rsid w:val="003B3CC8"/>
    <w:rsid w:val="003B79A7"/>
    <w:rsid w:val="003C2355"/>
    <w:rsid w:val="003D73C3"/>
    <w:rsid w:val="003E2EFB"/>
    <w:rsid w:val="003E6275"/>
    <w:rsid w:val="003F1160"/>
    <w:rsid w:val="003F244E"/>
    <w:rsid w:val="003F3E83"/>
    <w:rsid w:val="00400287"/>
    <w:rsid w:val="00416DB7"/>
    <w:rsid w:val="0042136C"/>
    <w:rsid w:val="004227A7"/>
    <w:rsid w:val="004331AE"/>
    <w:rsid w:val="00433E27"/>
    <w:rsid w:val="00440748"/>
    <w:rsid w:val="004439C8"/>
    <w:rsid w:val="00444B55"/>
    <w:rsid w:val="00461372"/>
    <w:rsid w:val="00472B5A"/>
    <w:rsid w:val="004752CF"/>
    <w:rsid w:val="004931D3"/>
    <w:rsid w:val="004A3F52"/>
    <w:rsid w:val="004A7821"/>
    <w:rsid w:val="004B24EE"/>
    <w:rsid w:val="004B3F4D"/>
    <w:rsid w:val="004B787E"/>
    <w:rsid w:val="004C1728"/>
    <w:rsid w:val="004D59E2"/>
    <w:rsid w:val="004D64CA"/>
    <w:rsid w:val="004E0471"/>
    <w:rsid w:val="00501429"/>
    <w:rsid w:val="00502674"/>
    <w:rsid w:val="005031D7"/>
    <w:rsid w:val="00505169"/>
    <w:rsid w:val="00510185"/>
    <w:rsid w:val="00512841"/>
    <w:rsid w:val="00523A5F"/>
    <w:rsid w:val="00524F42"/>
    <w:rsid w:val="00530A97"/>
    <w:rsid w:val="0057107B"/>
    <w:rsid w:val="00571AF0"/>
    <w:rsid w:val="00571E4F"/>
    <w:rsid w:val="00573DF7"/>
    <w:rsid w:val="00581B67"/>
    <w:rsid w:val="00582EBE"/>
    <w:rsid w:val="0058412E"/>
    <w:rsid w:val="00584546"/>
    <w:rsid w:val="005A0B71"/>
    <w:rsid w:val="005A3B28"/>
    <w:rsid w:val="005B3F93"/>
    <w:rsid w:val="005C24BB"/>
    <w:rsid w:val="005C265A"/>
    <w:rsid w:val="005E02B8"/>
    <w:rsid w:val="005E24D8"/>
    <w:rsid w:val="005F5B75"/>
    <w:rsid w:val="006065EE"/>
    <w:rsid w:val="006141C7"/>
    <w:rsid w:val="006159A5"/>
    <w:rsid w:val="006172E3"/>
    <w:rsid w:val="006231C2"/>
    <w:rsid w:val="00624043"/>
    <w:rsid w:val="006319D0"/>
    <w:rsid w:val="00635C66"/>
    <w:rsid w:val="00641F0B"/>
    <w:rsid w:val="00661B5C"/>
    <w:rsid w:val="00665615"/>
    <w:rsid w:val="00670426"/>
    <w:rsid w:val="0067156B"/>
    <w:rsid w:val="00681B50"/>
    <w:rsid w:val="006A077F"/>
    <w:rsid w:val="006A15F8"/>
    <w:rsid w:val="006A55E7"/>
    <w:rsid w:val="006A759F"/>
    <w:rsid w:val="006B01FF"/>
    <w:rsid w:val="006C09BE"/>
    <w:rsid w:val="006C44BB"/>
    <w:rsid w:val="006D4355"/>
    <w:rsid w:val="006E056C"/>
    <w:rsid w:val="006E1764"/>
    <w:rsid w:val="006F1B1F"/>
    <w:rsid w:val="006F6449"/>
    <w:rsid w:val="006F760D"/>
    <w:rsid w:val="00703267"/>
    <w:rsid w:val="0070447B"/>
    <w:rsid w:val="007164AD"/>
    <w:rsid w:val="00740DAC"/>
    <w:rsid w:val="00741D32"/>
    <w:rsid w:val="00755168"/>
    <w:rsid w:val="00761E2E"/>
    <w:rsid w:val="00772A2A"/>
    <w:rsid w:val="00777A8E"/>
    <w:rsid w:val="0079762D"/>
    <w:rsid w:val="007D4A53"/>
    <w:rsid w:val="007E4C19"/>
    <w:rsid w:val="007E6ED1"/>
    <w:rsid w:val="008115C6"/>
    <w:rsid w:val="00815BD8"/>
    <w:rsid w:val="008202F9"/>
    <w:rsid w:val="0082476D"/>
    <w:rsid w:val="00832D23"/>
    <w:rsid w:val="00835275"/>
    <w:rsid w:val="0083688E"/>
    <w:rsid w:val="0084261B"/>
    <w:rsid w:val="00847DB7"/>
    <w:rsid w:val="008571BB"/>
    <w:rsid w:val="00887F03"/>
    <w:rsid w:val="008968AC"/>
    <w:rsid w:val="00896E17"/>
    <w:rsid w:val="008A2816"/>
    <w:rsid w:val="008B461D"/>
    <w:rsid w:val="008C7CEA"/>
    <w:rsid w:val="00901FD7"/>
    <w:rsid w:val="009043CE"/>
    <w:rsid w:val="00914EF7"/>
    <w:rsid w:val="00915DE2"/>
    <w:rsid w:val="00920952"/>
    <w:rsid w:val="00925C04"/>
    <w:rsid w:val="00925D9B"/>
    <w:rsid w:val="00926636"/>
    <w:rsid w:val="00926D7C"/>
    <w:rsid w:val="00937E9B"/>
    <w:rsid w:val="0094570E"/>
    <w:rsid w:val="00950A48"/>
    <w:rsid w:val="009556F6"/>
    <w:rsid w:val="0096180C"/>
    <w:rsid w:val="009700EC"/>
    <w:rsid w:val="00973A87"/>
    <w:rsid w:val="009A33C8"/>
    <w:rsid w:val="009A6A1D"/>
    <w:rsid w:val="009B3E81"/>
    <w:rsid w:val="009B5BDF"/>
    <w:rsid w:val="009C5F1E"/>
    <w:rsid w:val="009C5F7C"/>
    <w:rsid w:val="009C79CB"/>
    <w:rsid w:val="009D3EAB"/>
    <w:rsid w:val="009E7B34"/>
    <w:rsid w:val="00A031C5"/>
    <w:rsid w:val="00A14DF0"/>
    <w:rsid w:val="00A33A1A"/>
    <w:rsid w:val="00A60EC5"/>
    <w:rsid w:val="00A73369"/>
    <w:rsid w:val="00A86278"/>
    <w:rsid w:val="00A87A99"/>
    <w:rsid w:val="00A97BFE"/>
    <w:rsid w:val="00AA32F1"/>
    <w:rsid w:val="00AA3529"/>
    <w:rsid w:val="00AC2533"/>
    <w:rsid w:val="00AC26CB"/>
    <w:rsid w:val="00AE35FF"/>
    <w:rsid w:val="00AF01F5"/>
    <w:rsid w:val="00B012DD"/>
    <w:rsid w:val="00B01E8E"/>
    <w:rsid w:val="00B0369A"/>
    <w:rsid w:val="00B1546B"/>
    <w:rsid w:val="00B331B5"/>
    <w:rsid w:val="00B56938"/>
    <w:rsid w:val="00B56ED5"/>
    <w:rsid w:val="00B6277C"/>
    <w:rsid w:val="00B81185"/>
    <w:rsid w:val="00B93653"/>
    <w:rsid w:val="00B97B8B"/>
    <w:rsid w:val="00BB2C7E"/>
    <w:rsid w:val="00C03A2D"/>
    <w:rsid w:val="00C04675"/>
    <w:rsid w:val="00C138DD"/>
    <w:rsid w:val="00C2774E"/>
    <w:rsid w:val="00C30D74"/>
    <w:rsid w:val="00C40D02"/>
    <w:rsid w:val="00C421EA"/>
    <w:rsid w:val="00C47C34"/>
    <w:rsid w:val="00C5036C"/>
    <w:rsid w:val="00C51F4A"/>
    <w:rsid w:val="00C55705"/>
    <w:rsid w:val="00C56EBC"/>
    <w:rsid w:val="00C631EB"/>
    <w:rsid w:val="00C8087B"/>
    <w:rsid w:val="00C81CBF"/>
    <w:rsid w:val="00C8264A"/>
    <w:rsid w:val="00C835E7"/>
    <w:rsid w:val="00CA1EF1"/>
    <w:rsid w:val="00CA328F"/>
    <w:rsid w:val="00CA4E70"/>
    <w:rsid w:val="00CC1CCC"/>
    <w:rsid w:val="00CD4B33"/>
    <w:rsid w:val="00CE081E"/>
    <w:rsid w:val="00CE6A93"/>
    <w:rsid w:val="00D02460"/>
    <w:rsid w:val="00D11A07"/>
    <w:rsid w:val="00D2497C"/>
    <w:rsid w:val="00D25E00"/>
    <w:rsid w:val="00D32585"/>
    <w:rsid w:val="00D60637"/>
    <w:rsid w:val="00D64DF4"/>
    <w:rsid w:val="00D64EA0"/>
    <w:rsid w:val="00D7277D"/>
    <w:rsid w:val="00D77327"/>
    <w:rsid w:val="00D83B6C"/>
    <w:rsid w:val="00D84FA8"/>
    <w:rsid w:val="00D9039A"/>
    <w:rsid w:val="00D938B2"/>
    <w:rsid w:val="00D96C90"/>
    <w:rsid w:val="00DA7515"/>
    <w:rsid w:val="00DB01F4"/>
    <w:rsid w:val="00DC0538"/>
    <w:rsid w:val="00DC3116"/>
    <w:rsid w:val="00DD4B4E"/>
    <w:rsid w:val="00DE7148"/>
    <w:rsid w:val="00DE7A62"/>
    <w:rsid w:val="00E34CBE"/>
    <w:rsid w:val="00EA11FD"/>
    <w:rsid w:val="00EA49BF"/>
    <w:rsid w:val="00EA686A"/>
    <w:rsid w:val="00EB0908"/>
    <w:rsid w:val="00EB5F4C"/>
    <w:rsid w:val="00EC44FE"/>
    <w:rsid w:val="00EC49EF"/>
    <w:rsid w:val="00ED56AE"/>
    <w:rsid w:val="00EE095C"/>
    <w:rsid w:val="00EE13AC"/>
    <w:rsid w:val="00EE605D"/>
    <w:rsid w:val="00EF1837"/>
    <w:rsid w:val="00EF7A06"/>
    <w:rsid w:val="00EF7DB1"/>
    <w:rsid w:val="00F13BF8"/>
    <w:rsid w:val="00F22ACA"/>
    <w:rsid w:val="00F23ED9"/>
    <w:rsid w:val="00F25602"/>
    <w:rsid w:val="00F3134F"/>
    <w:rsid w:val="00F40FD6"/>
    <w:rsid w:val="00F63DDC"/>
    <w:rsid w:val="00F8452B"/>
    <w:rsid w:val="00FA54D2"/>
    <w:rsid w:val="00FA567D"/>
    <w:rsid w:val="00FA6648"/>
    <w:rsid w:val="00FB068F"/>
    <w:rsid w:val="00FC3354"/>
    <w:rsid w:val="00FC45AC"/>
    <w:rsid w:val="00FC7C71"/>
    <w:rsid w:val="015D6B2A"/>
    <w:rsid w:val="0267688D"/>
    <w:rsid w:val="02870911"/>
    <w:rsid w:val="03155B98"/>
    <w:rsid w:val="037A01B8"/>
    <w:rsid w:val="04B279D4"/>
    <w:rsid w:val="04DF17C6"/>
    <w:rsid w:val="0550199D"/>
    <w:rsid w:val="056C0963"/>
    <w:rsid w:val="05BD4723"/>
    <w:rsid w:val="07646DE7"/>
    <w:rsid w:val="080E30EF"/>
    <w:rsid w:val="09F04623"/>
    <w:rsid w:val="0A9B2016"/>
    <w:rsid w:val="0ABC43F9"/>
    <w:rsid w:val="0ADF7419"/>
    <w:rsid w:val="0B491872"/>
    <w:rsid w:val="0D903025"/>
    <w:rsid w:val="0EA165E3"/>
    <w:rsid w:val="0EF04EC5"/>
    <w:rsid w:val="10080393"/>
    <w:rsid w:val="103D1135"/>
    <w:rsid w:val="12202D6C"/>
    <w:rsid w:val="12412140"/>
    <w:rsid w:val="124327EE"/>
    <w:rsid w:val="12FD4E8E"/>
    <w:rsid w:val="13952316"/>
    <w:rsid w:val="1469418D"/>
    <w:rsid w:val="14D95941"/>
    <w:rsid w:val="15826171"/>
    <w:rsid w:val="178D1F65"/>
    <w:rsid w:val="1A3C42E1"/>
    <w:rsid w:val="1B354396"/>
    <w:rsid w:val="1B3D683B"/>
    <w:rsid w:val="1B625380"/>
    <w:rsid w:val="1C57189A"/>
    <w:rsid w:val="1D285695"/>
    <w:rsid w:val="1D2D74A9"/>
    <w:rsid w:val="1DC67534"/>
    <w:rsid w:val="1E5B1196"/>
    <w:rsid w:val="1F162B03"/>
    <w:rsid w:val="1FFB048E"/>
    <w:rsid w:val="20986B3F"/>
    <w:rsid w:val="21125231"/>
    <w:rsid w:val="214C265F"/>
    <w:rsid w:val="21A47D8E"/>
    <w:rsid w:val="21C8576E"/>
    <w:rsid w:val="21CB0B0B"/>
    <w:rsid w:val="22D84689"/>
    <w:rsid w:val="22E23BA3"/>
    <w:rsid w:val="232A42A8"/>
    <w:rsid w:val="237B0B06"/>
    <w:rsid w:val="23CA1FC4"/>
    <w:rsid w:val="25547F56"/>
    <w:rsid w:val="26F51708"/>
    <w:rsid w:val="27714360"/>
    <w:rsid w:val="279F2A29"/>
    <w:rsid w:val="27CA08AE"/>
    <w:rsid w:val="2A9A7CB3"/>
    <w:rsid w:val="2BAA6B11"/>
    <w:rsid w:val="2D113951"/>
    <w:rsid w:val="2E281AEC"/>
    <w:rsid w:val="2F0A4535"/>
    <w:rsid w:val="2F2551EC"/>
    <w:rsid w:val="2F3822B1"/>
    <w:rsid w:val="2F610930"/>
    <w:rsid w:val="2F9E1C45"/>
    <w:rsid w:val="2FAC25A0"/>
    <w:rsid w:val="2FC50F33"/>
    <w:rsid w:val="2FF20302"/>
    <w:rsid w:val="2FF7475A"/>
    <w:rsid w:val="302745E4"/>
    <w:rsid w:val="308B6BC8"/>
    <w:rsid w:val="30FC7E10"/>
    <w:rsid w:val="31F51B43"/>
    <w:rsid w:val="32CC548D"/>
    <w:rsid w:val="32E97D8A"/>
    <w:rsid w:val="330F0462"/>
    <w:rsid w:val="33127246"/>
    <w:rsid w:val="332D3382"/>
    <w:rsid w:val="33F8024A"/>
    <w:rsid w:val="34077429"/>
    <w:rsid w:val="35247266"/>
    <w:rsid w:val="365D2844"/>
    <w:rsid w:val="368C1AB7"/>
    <w:rsid w:val="38197B9E"/>
    <w:rsid w:val="38A41EC9"/>
    <w:rsid w:val="38B42E51"/>
    <w:rsid w:val="39082401"/>
    <w:rsid w:val="39CD7C90"/>
    <w:rsid w:val="39CF53D1"/>
    <w:rsid w:val="3A9F22C2"/>
    <w:rsid w:val="3AAF0167"/>
    <w:rsid w:val="3AE34A17"/>
    <w:rsid w:val="3BAE1B1B"/>
    <w:rsid w:val="3C606713"/>
    <w:rsid w:val="3CBE2CE1"/>
    <w:rsid w:val="3D9F63B3"/>
    <w:rsid w:val="3E4B5DA1"/>
    <w:rsid w:val="3E7B7458"/>
    <w:rsid w:val="3EB428C3"/>
    <w:rsid w:val="3EF65C0B"/>
    <w:rsid w:val="3F272BF3"/>
    <w:rsid w:val="3F5FC4BB"/>
    <w:rsid w:val="3F735962"/>
    <w:rsid w:val="3FE95C21"/>
    <w:rsid w:val="40026FFD"/>
    <w:rsid w:val="41000C7A"/>
    <w:rsid w:val="41E1394C"/>
    <w:rsid w:val="420425F2"/>
    <w:rsid w:val="421524D4"/>
    <w:rsid w:val="422C35B8"/>
    <w:rsid w:val="427B0CF1"/>
    <w:rsid w:val="431F553A"/>
    <w:rsid w:val="43CC61A6"/>
    <w:rsid w:val="4409111F"/>
    <w:rsid w:val="473D413F"/>
    <w:rsid w:val="475844C0"/>
    <w:rsid w:val="47A23DCF"/>
    <w:rsid w:val="47D223C0"/>
    <w:rsid w:val="48C844AD"/>
    <w:rsid w:val="48CC0F4C"/>
    <w:rsid w:val="492D5DC1"/>
    <w:rsid w:val="4A061863"/>
    <w:rsid w:val="4AE85167"/>
    <w:rsid w:val="4B4810C0"/>
    <w:rsid w:val="4BBA3DCF"/>
    <w:rsid w:val="4BD45F6D"/>
    <w:rsid w:val="4C8E53B2"/>
    <w:rsid w:val="4D611793"/>
    <w:rsid w:val="4E060B7F"/>
    <w:rsid w:val="4ED202BE"/>
    <w:rsid w:val="4EED5E3E"/>
    <w:rsid w:val="4F6B0D1B"/>
    <w:rsid w:val="4FAA647E"/>
    <w:rsid w:val="4FE03DC4"/>
    <w:rsid w:val="51046304"/>
    <w:rsid w:val="51DE085F"/>
    <w:rsid w:val="521F6CFF"/>
    <w:rsid w:val="529C5C4F"/>
    <w:rsid w:val="54C62619"/>
    <w:rsid w:val="56687704"/>
    <w:rsid w:val="5712282D"/>
    <w:rsid w:val="59D800F7"/>
    <w:rsid w:val="59F21B57"/>
    <w:rsid w:val="59FFA87E"/>
    <w:rsid w:val="5A745763"/>
    <w:rsid w:val="5AD9207B"/>
    <w:rsid w:val="5B8D6070"/>
    <w:rsid w:val="5CEB1CAA"/>
    <w:rsid w:val="5D640436"/>
    <w:rsid w:val="5D782258"/>
    <w:rsid w:val="5E143576"/>
    <w:rsid w:val="5F3C14CE"/>
    <w:rsid w:val="5F9B20D6"/>
    <w:rsid w:val="5FBB6B27"/>
    <w:rsid w:val="5FC41423"/>
    <w:rsid w:val="5FF71689"/>
    <w:rsid w:val="613B6954"/>
    <w:rsid w:val="61D6427A"/>
    <w:rsid w:val="61F3446A"/>
    <w:rsid w:val="627827B6"/>
    <w:rsid w:val="628B6808"/>
    <w:rsid w:val="63E07A4B"/>
    <w:rsid w:val="66500518"/>
    <w:rsid w:val="66612F82"/>
    <w:rsid w:val="668805B0"/>
    <w:rsid w:val="669639BB"/>
    <w:rsid w:val="66F414C0"/>
    <w:rsid w:val="677F7C97"/>
    <w:rsid w:val="686178C3"/>
    <w:rsid w:val="69575426"/>
    <w:rsid w:val="699E327A"/>
    <w:rsid w:val="69D321B0"/>
    <w:rsid w:val="69E7297B"/>
    <w:rsid w:val="6A2302A6"/>
    <w:rsid w:val="6B492EB8"/>
    <w:rsid w:val="6B5D2645"/>
    <w:rsid w:val="6C147D85"/>
    <w:rsid w:val="6DC203D1"/>
    <w:rsid w:val="6EB446F7"/>
    <w:rsid w:val="6EF94790"/>
    <w:rsid w:val="6F2621DB"/>
    <w:rsid w:val="70F765A9"/>
    <w:rsid w:val="710C31C0"/>
    <w:rsid w:val="729448F9"/>
    <w:rsid w:val="72E83AAB"/>
    <w:rsid w:val="73A47383"/>
    <w:rsid w:val="74370D0F"/>
    <w:rsid w:val="744F3E89"/>
    <w:rsid w:val="74606462"/>
    <w:rsid w:val="74AD7722"/>
    <w:rsid w:val="74F4430E"/>
    <w:rsid w:val="75060144"/>
    <w:rsid w:val="77771CF3"/>
    <w:rsid w:val="78780E3A"/>
    <w:rsid w:val="798D6117"/>
    <w:rsid w:val="79A71A1B"/>
    <w:rsid w:val="79F6ED95"/>
    <w:rsid w:val="7A9B7953"/>
    <w:rsid w:val="7AE13552"/>
    <w:rsid w:val="7B413EEC"/>
    <w:rsid w:val="7B574551"/>
    <w:rsid w:val="7E7F12A1"/>
    <w:rsid w:val="7F3C317E"/>
    <w:rsid w:val="7FA8262E"/>
    <w:rsid w:val="7FAB6AA8"/>
    <w:rsid w:val="7FAF32BE"/>
    <w:rsid w:val="7FFA1303"/>
    <w:rsid w:val="BDECEEB5"/>
    <w:rsid w:val="F5FF58F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link w:val="23"/>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21"/>
    <w:qFormat/>
    <w:uiPriority w:val="0"/>
    <w:rPr>
      <w:rFonts w:ascii="宋体" w:eastAsia="宋体"/>
      <w:sz w:val="18"/>
      <w:szCs w:val="18"/>
    </w:rPr>
  </w:style>
  <w:style w:type="paragraph" w:styleId="6">
    <w:name w:val="Date"/>
    <w:basedOn w:val="1"/>
    <w:next w:val="1"/>
    <w:link w:val="20"/>
    <w:qFormat/>
    <w:uiPriority w:val="0"/>
    <w:pPr>
      <w:ind w:left="100" w:leftChars="2500"/>
    </w:pPr>
  </w:style>
  <w:style w:type="paragraph" w:styleId="7">
    <w:name w:val="Balloon Text"/>
    <w:basedOn w:val="1"/>
    <w:link w:val="22"/>
    <w:qFormat/>
    <w:uiPriority w:val="0"/>
    <w:rPr>
      <w:sz w:val="18"/>
      <w:szCs w:val="18"/>
    </w:rPr>
  </w:style>
  <w:style w:type="paragraph" w:styleId="8">
    <w:name w:val="footer"/>
    <w:basedOn w:val="1"/>
    <w:link w:val="19"/>
    <w:qFormat/>
    <w:uiPriority w:val="99"/>
    <w:pPr>
      <w:tabs>
        <w:tab w:val="center" w:pos="4153"/>
        <w:tab w:val="right" w:pos="8306"/>
      </w:tabs>
      <w:snapToGrid w:val="0"/>
      <w:jc w:val="left"/>
    </w:pPr>
    <w:rPr>
      <w:sz w:val="18"/>
      <w:szCs w:val="18"/>
    </w:rPr>
  </w:style>
  <w:style w:type="paragraph" w:styleId="9">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snapToGrid w:val="0"/>
      <w:spacing w:line="640" w:lineRule="exact"/>
      <w:ind w:firstLine="705"/>
    </w:pPr>
    <w:rPr>
      <w:rFonts w:ascii="仿宋_GB2312" w:hAnsi="Calibri" w:eastAsia="仿宋_GB2312" w:cs="Times New Roman"/>
      <w:color w:val="000000"/>
      <w:sz w:val="36"/>
      <w:szCs w:val="36"/>
    </w:rPr>
  </w:style>
  <w:style w:type="paragraph" w:styleId="11">
    <w:name w:val="toc 2"/>
    <w:basedOn w:val="1"/>
    <w:next w:val="1"/>
    <w:qFormat/>
    <w:uiPriority w:val="39"/>
    <w:pPr>
      <w:ind w:left="420" w:leftChars="200"/>
    </w:pPr>
    <w:rPr>
      <w:rFonts w:ascii="Times New Roman" w:hAnsi="Times New Roman" w:eastAsia="仿宋_GB2312" w:cs="Times New Roman"/>
      <w:sz w:val="30"/>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0"/>
    <w:rPr>
      <w:b/>
    </w:rPr>
  </w:style>
  <w:style w:type="character" w:styleId="16">
    <w:name w:val="Hyperlink"/>
    <w:qFormat/>
    <w:uiPriority w:val="99"/>
    <w:rPr>
      <w:color w:val="333333"/>
      <w:u w:val="none"/>
    </w:rPr>
  </w:style>
  <w:style w:type="paragraph" w:customStyle="1" w:styleId="17">
    <w:name w:val="列出段落1"/>
    <w:basedOn w:val="1"/>
    <w:unhideWhenUsed/>
    <w:qFormat/>
    <w:uiPriority w:val="34"/>
    <w:pPr>
      <w:ind w:firstLine="420" w:firstLineChars="200"/>
    </w:pPr>
  </w:style>
  <w:style w:type="character" w:customStyle="1" w:styleId="18">
    <w:name w:val="页眉 Char"/>
    <w:basedOn w:val="14"/>
    <w:link w:val="9"/>
    <w:qFormat/>
    <w:uiPriority w:val="0"/>
    <w:rPr>
      <w:rFonts w:asciiTheme="minorHAnsi" w:hAnsiTheme="minorHAnsi" w:eastAsiaTheme="minorEastAsia" w:cstheme="minorBidi"/>
      <w:kern w:val="2"/>
      <w:sz w:val="18"/>
      <w:szCs w:val="18"/>
    </w:rPr>
  </w:style>
  <w:style w:type="character" w:customStyle="1" w:styleId="19">
    <w:name w:val="页脚 Char"/>
    <w:basedOn w:val="14"/>
    <w:link w:val="8"/>
    <w:qFormat/>
    <w:uiPriority w:val="99"/>
    <w:rPr>
      <w:rFonts w:asciiTheme="minorHAnsi" w:hAnsiTheme="minorHAnsi" w:eastAsiaTheme="minorEastAsia" w:cstheme="minorBidi"/>
      <w:kern w:val="2"/>
      <w:sz w:val="18"/>
      <w:szCs w:val="18"/>
    </w:rPr>
  </w:style>
  <w:style w:type="character" w:customStyle="1" w:styleId="20">
    <w:name w:val="日期 Char"/>
    <w:basedOn w:val="14"/>
    <w:link w:val="6"/>
    <w:qFormat/>
    <w:uiPriority w:val="0"/>
    <w:rPr>
      <w:rFonts w:asciiTheme="minorHAnsi" w:hAnsiTheme="minorHAnsi" w:eastAsiaTheme="minorEastAsia" w:cstheme="minorBidi"/>
      <w:kern w:val="2"/>
      <w:sz w:val="21"/>
      <w:szCs w:val="24"/>
    </w:rPr>
  </w:style>
  <w:style w:type="character" w:customStyle="1" w:styleId="21">
    <w:name w:val="文档结构图 Char"/>
    <w:basedOn w:val="14"/>
    <w:link w:val="5"/>
    <w:qFormat/>
    <w:uiPriority w:val="0"/>
    <w:rPr>
      <w:rFonts w:ascii="宋体" w:hAnsiTheme="minorHAnsi" w:cstheme="minorBidi"/>
      <w:kern w:val="2"/>
      <w:sz w:val="18"/>
      <w:szCs w:val="18"/>
    </w:rPr>
  </w:style>
  <w:style w:type="character" w:customStyle="1" w:styleId="22">
    <w:name w:val="批注框文本 Char"/>
    <w:basedOn w:val="14"/>
    <w:link w:val="7"/>
    <w:qFormat/>
    <w:uiPriority w:val="0"/>
    <w:rPr>
      <w:rFonts w:asciiTheme="minorHAnsi" w:hAnsiTheme="minorHAnsi" w:eastAsiaTheme="minorEastAsia" w:cstheme="minorBidi"/>
      <w:kern w:val="2"/>
      <w:sz w:val="18"/>
      <w:szCs w:val="18"/>
    </w:rPr>
  </w:style>
  <w:style w:type="character" w:customStyle="1" w:styleId="23">
    <w:name w:val="标题 2 Char"/>
    <w:basedOn w:val="14"/>
    <w:link w:val="3"/>
    <w:semiHidden/>
    <w:qFormat/>
    <w:uiPriority w:val="0"/>
    <w:rPr>
      <w:rFonts w:asciiTheme="majorHAnsi" w:hAnsiTheme="majorHAnsi" w:eastAsiaTheme="majorEastAsia" w:cstheme="majorBidi"/>
      <w:b/>
      <w:bCs/>
      <w:kern w:val="2"/>
      <w:sz w:val="32"/>
      <w:szCs w:val="32"/>
    </w:rPr>
  </w:style>
  <w:style w:type="character" w:customStyle="1" w:styleId="24">
    <w:name w:val="标题 3 Char"/>
    <w:basedOn w:val="14"/>
    <w:link w:val="4"/>
    <w:semiHidden/>
    <w:qFormat/>
    <w:uiPriority w:val="0"/>
    <w:rPr>
      <w:rFonts w:asciiTheme="minorHAnsi" w:hAnsiTheme="minorHAnsi" w:eastAsiaTheme="minorEastAsia" w:cstheme="minorBidi"/>
      <w:b/>
      <w:bCs/>
      <w:kern w:val="2"/>
      <w:sz w:val="32"/>
      <w:szCs w:val="32"/>
    </w:rPr>
  </w:style>
  <w:style w:type="paragraph" w:customStyle="1" w:styleId="25">
    <w:name w:val="修订1"/>
    <w:hidden/>
    <w:unhideWhenUsed/>
    <w:qFormat/>
    <w:uiPriority w:val="99"/>
    <w:rPr>
      <w:rFonts w:asciiTheme="minorHAnsi" w:hAnsiTheme="minorHAnsi" w:eastAsiaTheme="minorEastAsia" w:cstheme="minorBidi"/>
      <w:kern w:val="2"/>
      <w:sz w:val="21"/>
      <w:szCs w:val="24"/>
      <w:lang w:val="en-US" w:eastAsia="zh-CN" w:bidi="ar-SA"/>
    </w:rPr>
  </w:style>
  <w:style w:type="paragraph" w:styleId="2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966</Words>
  <Characters>717</Characters>
  <Lines>5</Lines>
  <Paragraphs>3</Paragraphs>
  <TotalTime>86</TotalTime>
  <ScaleCrop>false</ScaleCrop>
  <LinksUpToDate>false</LinksUpToDate>
  <CharactersWithSpaces>1680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2023-06-16T19:24:00Z</dcterms:created>
  <dc:creator>user</dc:creator>
  <cp:lastModifiedBy>y&amp;n</cp:lastModifiedBy>
  <cp:lastPrinted>2021-10-08T18:21:00Z</cp:lastPrinted>
  <dcterms:modified xsi:type="dcterms:W3CDTF">2026-06-30T08:45:45Z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y fmtid="{D5CDD505-2E9C-101B-9397-08002B2CF9AE}" pid="3" name="ICV">
    <vt:lpwstr>3F207902D39F4CB2A175CE6BB3F6781A</vt:lpwstr>
  </property>
</Properties>
</file>