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0" w:lineRule="exact"/>
        <w:rPr>
          <w:rFonts w:ascii="黑体" w:hAnsi="黑体" w:eastAsia="黑体" w:cs="Times New Roman"/>
          <w:spacing w:val="-4"/>
          <w:sz w:val="32"/>
          <w:szCs w:val="32"/>
        </w:rPr>
      </w:pPr>
      <w:r>
        <w:rPr>
          <w:rFonts w:hint="eastAsia" w:ascii="黑体" w:hAnsi="黑体" w:eastAsia="黑体" w:cs="Times New Roman"/>
          <w:spacing w:val="-4"/>
          <w:sz w:val="32"/>
          <w:szCs w:val="32"/>
        </w:rPr>
        <w:t>附件3</w:t>
      </w:r>
    </w:p>
    <w:p>
      <w:pPr>
        <w:spacing w:line="520" w:lineRule="exact"/>
        <w:ind w:left="880" w:hanging="880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spacing w:line="520" w:lineRule="exact"/>
        <w:ind w:left="880" w:hanging="880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spacing w:line="520" w:lineRule="exact"/>
        <w:ind w:left="880" w:hanging="880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统计工作经费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绩效自评抽查</w:t>
      </w:r>
    </w:p>
    <w:p>
      <w:pPr>
        <w:spacing w:line="520" w:lineRule="exact"/>
        <w:ind w:left="880" w:hanging="880"/>
        <w:jc w:val="center"/>
        <w:rPr>
          <w:rFonts w:ascii="方正小标宋_GBK" w:eastAsia="方正小标宋_GBK" w:cs="文星简黑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复核报告</w:t>
      </w:r>
    </w:p>
    <w:p>
      <w:pPr>
        <w:spacing w:line="520" w:lineRule="exact"/>
        <w:ind w:left="1040" w:hanging="1040"/>
        <w:jc w:val="right"/>
        <w:rPr>
          <w:rFonts w:ascii="文星简黑体" w:eastAsia="文星简黑体"/>
          <w:sz w:val="52"/>
          <w:szCs w:val="52"/>
        </w:rPr>
      </w:pPr>
    </w:p>
    <w:p>
      <w:pPr>
        <w:spacing w:line="520" w:lineRule="exact"/>
        <w:ind w:left="1040" w:hanging="1040"/>
        <w:jc w:val="center"/>
        <w:rPr>
          <w:rFonts w:ascii="文星简黑体" w:eastAsia="文星简黑体"/>
          <w:sz w:val="52"/>
          <w:szCs w:val="52"/>
        </w:rPr>
      </w:pPr>
    </w:p>
    <w:p>
      <w:pPr>
        <w:pStyle w:val="17"/>
      </w:pPr>
    </w:p>
    <w:p>
      <w:pPr>
        <w:pStyle w:val="17"/>
      </w:pPr>
    </w:p>
    <w:p>
      <w:pPr>
        <w:pStyle w:val="17"/>
      </w:pPr>
    </w:p>
    <w:p>
      <w:pPr>
        <w:pStyle w:val="17"/>
      </w:pPr>
    </w:p>
    <w:p>
      <w:pPr>
        <w:pStyle w:val="17"/>
      </w:pPr>
    </w:p>
    <w:p>
      <w:pPr>
        <w:pStyle w:val="17"/>
      </w:pPr>
    </w:p>
    <w:p>
      <w:pPr>
        <w:pStyle w:val="17"/>
        <w:ind w:firstLine="1040"/>
        <w:rPr>
          <w:rFonts w:ascii="文星简黑体" w:eastAsia="文星简黑体"/>
          <w:sz w:val="52"/>
          <w:szCs w:val="52"/>
        </w:rPr>
      </w:pPr>
    </w:p>
    <w:p>
      <w:pPr>
        <w:pStyle w:val="17"/>
        <w:ind w:firstLine="1040"/>
        <w:rPr>
          <w:rFonts w:ascii="文星简黑体" w:eastAsia="文星简黑体"/>
          <w:sz w:val="52"/>
          <w:szCs w:val="52"/>
        </w:rPr>
      </w:pPr>
    </w:p>
    <w:p>
      <w:pPr>
        <w:pStyle w:val="17"/>
        <w:ind w:firstLine="1040"/>
        <w:rPr>
          <w:rFonts w:ascii="文星简黑体" w:eastAsia="文星简黑体"/>
          <w:sz w:val="52"/>
          <w:szCs w:val="52"/>
        </w:rPr>
      </w:pPr>
    </w:p>
    <w:p>
      <w:pPr>
        <w:spacing w:line="520" w:lineRule="exact"/>
        <w:jc w:val="both"/>
        <w:rPr>
          <w:rFonts w:ascii="文星简黑体" w:eastAsia="文星简黑体"/>
          <w:sz w:val="52"/>
          <w:szCs w:val="52"/>
        </w:rPr>
      </w:pPr>
    </w:p>
    <w:p>
      <w:pPr>
        <w:spacing w:before="120" w:after="120" w:line="52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文星简黑体"/>
          <w:spacing w:val="53"/>
          <w:kern w:val="0"/>
          <w:sz w:val="32"/>
          <w:szCs w:val="32"/>
        </w:rPr>
        <w:t>委托单</w:t>
      </w:r>
      <w:r>
        <w:rPr>
          <w:rFonts w:hint="eastAsia" w:ascii="黑体" w:hAnsi="黑体" w:eastAsia="黑体" w:cs="文星简黑体"/>
          <w:spacing w:val="1"/>
          <w:kern w:val="0"/>
          <w:sz w:val="32"/>
          <w:szCs w:val="32"/>
        </w:rPr>
        <w:t>位</w:t>
      </w:r>
      <w:r>
        <w:rPr>
          <w:rFonts w:hint="eastAsia" w:ascii="黑体" w:hAnsi="黑体" w:eastAsia="黑体" w:cs="文星简黑体"/>
          <w:sz w:val="32"/>
          <w:szCs w:val="32"/>
        </w:rPr>
        <w:t>：</w:t>
      </w:r>
      <w:r>
        <w:rPr>
          <w:rFonts w:hint="eastAsia" w:ascii="黑体" w:hAnsi="黑体" w:eastAsia="黑体" w:cs="文星简黑体"/>
          <w:sz w:val="32"/>
          <w:szCs w:val="32"/>
          <w:lang w:eastAsia="zh-CN"/>
        </w:rPr>
        <w:t>青岛西海岸新区财政局</w:t>
      </w:r>
      <w:bookmarkStart w:id="42" w:name="_GoBack"/>
      <w:bookmarkEnd w:id="42"/>
    </w:p>
    <w:p>
      <w:pPr>
        <w:spacing w:before="120" w:after="120" w:line="520" w:lineRule="exact"/>
        <w:ind w:left="2240" w:hanging="2240" w:hangingChars="700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 w:cs="文星简黑体"/>
          <w:sz w:val="32"/>
          <w:szCs w:val="32"/>
        </w:rPr>
        <w:t>被评价单位：</w:t>
      </w:r>
      <w:r>
        <w:rPr>
          <w:rFonts w:hint="eastAsia" w:ascii="黑体" w:hAnsi="黑体" w:eastAsia="黑体"/>
          <w:sz w:val="32"/>
          <w:szCs w:val="32"/>
          <w:lang w:eastAsia="zh-CN"/>
        </w:rPr>
        <w:t>青岛西海岸新区统计局</w:t>
      </w:r>
    </w:p>
    <w:p>
      <w:pPr>
        <w:spacing w:before="120" w:after="120" w:line="520" w:lineRule="exact"/>
        <w:ind w:left="640" w:hanging="640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 w:cs="文星简黑体"/>
          <w:spacing w:val="53"/>
          <w:kern w:val="0"/>
          <w:sz w:val="32"/>
          <w:szCs w:val="32"/>
        </w:rPr>
        <w:t>评价机</w:t>
      </w:r>
      <w:r>
        <w:rPr>
          <w:rFonts w:hint="eastAsia" w:ascii="黑体" w:hAnsi="黑体" w:eastAsia="黑体" w:cs="文星简黑体"/>
          <w:spacing w:val="1"/>
          <w:kern w:val="0"/>
          <w:sz w:val="32"/>
          <w:szCs w:val="32"/>
        </w:rPr>
        <w:t>构</w:t>
      </w:r>
      <w:r>
        <w:rPr>
          <w:rFonts w:hint="eastAsia" w:ascii="黑体" w:hAnsi="黑体" w:eastAsia="黑体" w:cs="文星简黑体"/>
          <w:sz w:val="32"/>
          <w:szCs w:val="32"/>
        </w:rPr>
        <w:t>：</w:t>
      </w:r>
      <w:r>
        <w:rPr>
          <w:rFonts w:hint="eastAsia" w:ascii="黑体" w:hAnsi="黑体" w:eastAsia="黑体" w:cs="文星简黑体"/>
          <w:sz w:val="32"/>
          <w:szCs w:val="32"/>
          <w:lang w:eastAsia="zh-CN"/>
        </w:rPr>
        <w:t>青岛西海岸新区财政局</w:t>
      </w:r>
    </w:p>
    <w:p>
      <w:pPr>
        <w:spacing w:before="120" w:after="120" w:line="520" w:lineRule="exact"/>
        <w:ind w:left="640" w:hanging="640"/>
        <w:jc w:val="left"/>
        <w:rPr>
          <w:rFonts w:ascii="黑体" w:hAnsi="黑体" w:eastAsia="黑体"/>
          <w:sz w:val="32"/>
          <w:szCs w:val="32"/>
        </w:rPr>
      </w:pPr>
    </w:p>
    <w:p>
      <w:pPr>
        <w:spacing w:before="120" w:after="120"/>
        <w:jc w:val="center"/>
        <w:rPr>
          <w:rFonts w:ascii="黑体" w:hAnsi="黑体" w:eastAsia="黑体" w:cs="文星简黑体"/>
          <w:sz w:val="32"/>
          <w:szCs w:val="32"/>
        </w:rPr>
      </w:pPr>
    </w:p>
    <w:p>
      <w:pPr>
        <w:spacing w:before="120" w:after="120"/>
        <w:jc w:val="center"/>
        <w:rPr>
          <w:rFonts w:ascii="黑体" w:hAnsi="黑体" w:eastAsia="黑体" w:cs="文星简黑体"/>
          <w:sz w:val="32"/>
          <w:szCs w:val="32"/>
          <w:highlight w:val="none"/>
        </w:rPr>
      </w:pPr>
      <w:r>
        <w:rPr>
          <w:rFonts w:hint="eastAsia" w:ascii="黑体" w:hAnsi="黑体" w:eastAsia="黑体" w:cs="文星简黑体"/>
          <w:sz w:val="32"/>
          <w:szCs w:val="32"/>
          <w:highlight w:val="none"/>
        </w:rPr>
        <w:t>202</w:t>
      </w:r>
      <w:r>
        <w:rPr>
          <w:rFonts w:hint="eastAsia" w:ascii="黑体" w:hAnsi="黑体" w:eastAsia="黑体" w:cs="文星简黑体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黑体" w:hAnsi="黑体" w:eastAsia="黑体" w:cs="文星简黑体"/>
          <w:sz w:val="32"/>
          <w:szCs w:val="32"/>
          <w:highlight w:val="none"/>
        </w:rPr>
        <w:t>年</w:t>
      </w:r>
      <w:r>
        <w:rPr>
          <w:rFonts w:hint="eastAsia" w:ascii="黑体" w:hAnsi="黑体" w:eastAsia="黑体" w:cs="文星简黑体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黑体" w:hAnsi="黑体" w:eastAsia="黑体" w:cs="文星简黑体"/>
          <w:sz w:val="32"/>
          <w:szCs w:val="32"/>
          <w:highlight w:val="none"/>
        </w:rPr>
        <w:t>月</w:t>
      </w: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 w:cs="黑体"/>
          <w:sz w:val="32"/>
          <w:szCs w:val="32"/>
        </w:rPr>
      </w:pPr>
    </w:p>
    <w:p>
      <w:pPr>
        <w:adjustRightInd w:val="0"/>
        <w:snapToGrid w:val="0"/>
        <w:spacing w:line="360" w:lineRule="auto"/>
        <w:ind w:left="880" w:hanging="880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adjustRightInd w:val="0"/>
        <w:snapToGrid w:val="0"/>
        <w:spacing w:line="360" w:lineRule="auto"/>
        <w:ind w:left="880" w:hanging="880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目  录</w:t>
      </w:r>
    </w:p>
    <w:p>
      <w:pPr>
        <w:pStyle w:val="10"/>
        <w:tabs>
          <w:tab w:val="right" w:leader="dot" w:pos="8306"/>
        </w:tabs>
        <w:adjustRightInd w:val="0"/>
        <w:spacing w:line="360" w:lineRule="auto"/>
        <w:rPr>
          <w:sz w:val="32"/>
          <w:szCs w:val="32"/>
        </w:rPr>
      </w:pPr>
      <w:r>
        <w:rPr>
          <w:rFonts w:ascii="Times New Roman" w:hAnsi="Times New Roman" w:eastAsia="宋体"/>
          <w:sz w:val="32"/>
          <w:szCs w:val="32"/>
        </w:rPr>
        <w:fldChar w:fldCharType="begin"/>
      </w:r>
      <w:r>
        <w:rPr>
          <w:rFonts w:ascii="Times New Roman" w:hAnsi="Times New Roman" w:eastAsia="宋体"/>
          <w:sz w:val="32"/>
          <w:szCs w:val="32"/>
        </w:rPr>
        <w:instrText xml:space="preserve">TOC \o "1-3" \h \u </w:instrText>
      </w:r>
      <w:r>
        <w:rPr>
          <w:rFonts w:ascii="Times New Roman" w:hAnsi="Times New Roman" w:eastAsia="宋体"/>
          <w:sz w:val="32"/>
          <w:szCs w:val="32"/>
        </w:rPr>
        <w:fldChar w:fldCharType="separate"/>
      </w:r>
      <w:r>
        <w:fldChar w:fldCharType="begin"/>
      </w:r>
      <w:r>
        <w:instrText xml:space="preserve"> HYPERLINK \l "_Toc20850" </w:instrText>
      </w:r>
      <w:r>
        <w:fldChar w:fldCharType="separate"/>
      </w:r>
      <w:r>
        <w:rPr>
          <w:rFonts w:hint="eastAsia" w:ascii="黑体" w:hAnsi="黑体" w:eastAsia="黑体" w:cs="黑体"/>
          <w:sz w:val="32"/>
          <w:szCs w:val="32"/>
        </w:rPr>
        <w:t>一、组织情况（抽查组织情况）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_Toc20850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1</w:t>
      </w:r>
      <w:r>
        <w:rPr>
          <w:sz w:val="32"/>
          <w:szCs w:val="32"/>
        </w:rPr>
        <w:fldChar w:fldCharType="end"/>
      </w:r>
      <w:r>
        <w:rPr>
          <w:sz w:val="32"/>
          <w:szCs w:val="32"/>
        </w:rPr>
        <w:fldChar w:fldCharType="end"/>
      </w:r>
    </w:p>
    <w:p>
      <w:pPr>
        <w:pStyle w:val="11"/>
        <w:tabs>
          <w:tab w:val="right" w:leader="dot" w:pos="8306"/>
        </w:tabs>
        <w:adjustRightInd w:val="0"/>
        <w:snapToGrid w:val="0"/>
        <w:spacing w:line="360" w:lineRule="auto"/>
        <w:ind w:firstLine="300" w:firstLineChars="100"/>
        <w:rPr>
          <w:sz w:val="32"/>
          <w:szCs w:val="32"/>
        </w:rPr>
      </w:pPr>
      <w:r>
        <w:fldChar w:fldCharType="begin"/>
      </w:r>
      <w:r>
        <w:instrText xml:space="preserve"> HYPERLINK \l "_Toc23777" </w:instrText>
      </w:r>
      <w:r>
        <w:fldChar w:fldCharType="separate"/>
      </w:r>
      <w:r>
        <w:rPr>
          <w:rFonts w:hint="eastAsia" w:ascii="Cambria" w:hAnsi="Cambria" w:eastAsia="楷体"/>
          <w:kern w:val="0"/>
          <w:sz w:val="32"/>
          <w:szCs w:val="32"/>
        </w:rPr>
        <w:t>（一）抽查复核目的和对象</w:t>
      </w:r>
      <w:r>
        <w:rPr>
          <w:sz w:val="32"/>
          <w:szCs w:val="32"/>
        </w:rPr>
        <w:tab/>
      </w:r>
      <w:r>
        <w:rPr>
          <w:rFonts w:ascii="仿宋_GB2312" w:hAnsi="Calibri"/>
          <w:color w:val="000000"/>
          <w:sz w:val="32"/>
          <w:szCs w:val="32"/>
        </w:rPr>
        <w:fldChar w:fldCharType="begin"/>
      </w:r>
      <w:r>
        <w:rPr>
          <w:rFonts w:ascii="仿宋_GB2312" w:hAnsi="Calibri"/>
          <w:color w:val="000000"/>
          <w:sz w:val="32"/>
          <w:szCs w:val="32"/>
        </w:rPr>
        <w:instrText xml:space="preserve"> PAGEREF _Toc23777 \h </w:instrText>
      </w:r>
      <w:r>
        <w:rPr>
          <w:rFonts w:ascii="仿宋_GB2312" w:hAnsi="Calibri"/>
          <w:color w:val="000000"/>
          <w:sz w:val="32"/>
          <w:szCs w:val="32"/>
        </w:rPr>
        <w:fldChar w:fldCharType="separate"/>
      </w:r>
      <w:r>
        <w:rPr>
          <w:rFonts w:ascii="仿宋_GB2312" w:hAnsi="Calibri"/>
          <w:color w:val="000000"/>
          <w:sz w:val="32"/>
          <w:szCs w:val="32"/>
        </w:rPr>
        <w:t>1</w:t>
      </w:r>
      <w:r>
        <w:rPr>
          <w:rFonts w:ascii="仿宋_GB2312" w:hAnsi="Calibri"/>
          <w:color w:val="000000"/>
          <w:sz w:val="32"/>
          <w:szCs w:val="32"/>
        </w:rPr>
        <w:fldChar w:fldCharType="end"/>
      </w:r>
      <w:r>
        <w:rPr>
          <w:rFonts w:ascii="仿宋_GB2312" w:hAnsi="Calibri"/>
          <w:color w:val="000000"/>
          <w:sz w:val="32"/>
          <w:szCs w:val="32"/>
        </w:rPr>
        <w:fldChar w:fldCharType="end"/>
      </w:r>
    </w:p>
    <w:p>
      <w:pPr>
        <w:pStyle w:val="11"/>
        <w:tabs>
          <w:tab w:val="right" w:leader="dot" w:pos="8306"/>
        </w:tabs>
        <w:adjustRightInd w:val="0"/>
        <w:snapToGrid w:val="0"/>
        <w:spacing w:line="360" w:lineRule="auto"/>
        <w:ind w:firstLine="300" w:firstLineChars="100"/>
        <w:rPr>
          <w:sz w:val="32"/>
          <w:szCs w:val="32"/>
        </w:rPr>
      </w:pPr>
      <w:r>
        <w:fldChar w:fldCharType="begin"/>
      </w:r>
      <w:r>
        <w:instrText xml:space="preserve"> HYPERLINK \l "_Toc3668" </w:instrText>
      </w:r>
      <w:r>
        <w:fldChar w:fldCharType="separate"/>
      </w:r>
      <w:r>
        <w:rPr>
          <w:rFonts w:hint="eastAsia" w:ascii="Cambria" w:hAnsi="Cambria" w:eastAsia="楷体"/>
          <w:kern w:val="0"/>
          <w:sz w:val="32"/>
          <w:szCs w:val="32"/>
        </w:rPr>
        <w:t>（二）</w:t>
      </w:r>
      <w:r>
        <w:rPr>
          <w:rFonts w:hint="eastAsia" w:ascii="Cambria" w:hAnsi="Cambria" w:eastAsia="楷体" w:cstheme="majorBidi"/>
          <w:kern w:val="0"/>
          <w:sz w:val="32"/>
          <w:szCs w:val="32"/>
        </w:rPr>
        <w:t>抽查复核</w:t>
      </w:r>
      <w:r>
        <w:rPr>
          <w:rFonts w:hint="eastAsia" w:ascii="Cambria" w:hAnsi="Cambria" w:eastAsia="楷体"/>
          <w:kern w:val="0"/>
          <w:sz w:val="32"/>
          <w:szCs w:val="32"/>
        </w:rPr>
        <w:t>依据、方法和标准</w:t>
      </w:r>
      <w:r>
        <w:rPr>
          <w:sz w:val="32"/>
          <w:szCs w:val="32"/>
        </w:rPr>
        <w:tab/>
      </w:r>
      <w:r>
        <w:rPr>
          <w:rFonts w:ascii="仿宋_GB2312" w:hAnsi="Calibri"/>
          <w:color w:val="000000"/>
          <w:sz w:val="32"/>
          <w:szCs w:val="32"/>
        </w:rPr>
        <w:fldChar w:fldCharType="begin"/>
      </w:r>
      <w:r>
        <w:rPr>
          <w:rFonts w:ascii="仿宋_GB2312" w:hAnsi="Calibri"/>
          <w:color w:val="000000"/>
          <w:sz w:val="32"/>
          <w:szCs w:val="32"/>
        </w:rPr>
        <w:instrText xml:space="preserve"> PAGEREF _Toc3668 \h </w:instrText>
      </w:r>
      <w:r>
        <w:rPr>
          <w:rFonts w:ascii="仿宋_GB2312" w:hAnsi="Calibri"/>
          <w:color w:val="000000"/>
          <w:sz w:val="32"/>
          <w:szCs w:val="32"/>
        </w:rPr>
        <w:fldChar w:fldCharType="separate"/>
      </w:r>
      <w:r>
        <w:rPr>
          <w:rFonts w:ascii="仿宋_GB2312" w:hAnsi="Calibri"/>
          <w:color w:val="000000"/>
          <w:sz w:val="32"/>
          <w:szCs w:val="32"/>
        </w:rPr>
        <w:t>1</w:t>
      </w:r>
      <w:r>
        <w:rPr>
          <w:rFonts w:ascii="仿宋_GB2312" w:hAnsi="Calibri"/>
          <w:color w:val="000000"/>
          <w:sz w:val="32"/>
          <w:szCs w:val="32"/>
        </w:rPr>
        <w:fldChar w:fldCharType="end"/>
      </w:r>
      <w:r>
        <w:rPr>
          <w:rFonts w:ascii="仿宋_GB2312" w:hAnsi="Calibri"/>
          <w:color w:val="000000"/>
          <w:sz w:val="32"/>
          <w:szCs w:val="32"/>
        </w:rPr>
        <w:fldChar w:fldCharType="end"/>
      </w:r>
    </w:p>
    <w:p>
      <w:pPr>
        <w:pStyle w:val="10"/>
        <w:tabs>
          <w:tab w:val="right" w:leader="dot" w:pos="8306"/>
        </w:tabs>
        <w:adjustRightInd w:val="0"/>
        <w:spacing w:line="360" w:lineRule="auto"/>
        <w:rPr>
          <w:sz w:val="32"/>
          <w:szCs w:val="32"/>
        </w:rPr>
      </w:pPr>
      <w:r>
        <w:fldChar w:fldCharType="begin"/>
      </w:r>
      <w:r>
        <w:instrText xml:space="preserve"> HYPERLINK \l "_Toc17066" </w:instrText>
      </w:r>
      <w:r>
        <w:fldChar w:fldCharType="separate"/>
      </w:r>
      <w:r>
        <w:rPr>
          <w:rFonts w:hint="eastAsia" w:ascii="黑体" w:hAnsi="黑体" w:eastAsia="黑体" w:cs="黑体"/>
          <w:sz w:val="32"/>
          <w:szCs w:val="32"/>
        </w:rPr>
        <w:t>二、绩效自评开展情况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_Toc17066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2</w:t>
      </w:r>
      <w:r>
        <w:rPr>
          <w:sz w:val="32"/>
          <w:szCs w:val="32"/>
        </w:rPr>
        <w:fldChar w:fldCharType="end"/>
      </w:r>
      <w:r>
        <w:rPr>
          <w:sz w:val="32"/>
          <w:szCs w:val="32"/>
        </w:rPr>
        <w:fldChar w:fldCharType="end"/>
      </w:r>
    </w:p>
    <w:p>
      <w:pPr>
        <w:pStyle w:val="11"/>
        <w:tabs>
          <w:tab w:val="right" w:leader="dot" w:pos="8306"/>
        </w:tabs>
        <w:adjustRightInd w:val="0"/>
        <w:snapToGrid w:val="0"/>
        <w:spacing w:line="360" w:lineRule="auto"/>
        <w:ind w:left="739" w:leftChars="352"/>
        <w:rPr>
          <w:sz w:val="32"/>
          <w:szCs w:val="32"/>
        </w:rPr>
      </w:pPr>
      <w:r>
        <w:fldChar w:fldCharType="begin"/>
      </w:r>
      <w:r>
        <w:instrText xml:space="preserve"> HYPERLINK \l "_Toc16329" </w:instrText>
      </w:r>
      <w:r>
        <w:fldChar w:fldCharType="separate"/>
      </w:r>
      <w:r>
        <w:rPr>
          <w:rFonts w:hint="eastAsia" w:ascii="楷体_GB2312" w:hAnsi="楷体_GB2312" w:eastAsia="楷体_GB2312" w:cs="楷体_GB2312"/>
          <w:spacing w:val="-4"/>
          <w:sz w:val="32"/>
          <w:szCs w:val="32"/>
        </w:rPr>
        <w:t>（一）绩效自评整体情况（单位自评情况，不是抽查复核情况）</w:t>
      </w:r>
      <w:r>
        <w:rPr>
          <w:sz w:val="32"/>
          <w:szCs w:val="32"/>
        </w:rPr>
        <w:tab/>
      </w:r>
      <w:r>
        <w:rPr>
          <w:rFonts w:ascii="仿宋_GB2312" w:hAnsi="Calibri"/>
          <w:color w:val="000000"/>
          <w:sz w:val="32"/>
          <w:szCs w:val="32"/>
        </w:rPr>
        <w:fldChar w:fldCharType="begin"/>
      </w:r>
      <w:r>
        <w:rPr>
          <w:rFonts w:ascii="仿宋_GB2312" w:hAnsi="Calibri"/>
          <w:color w:val="000000"/>
          <w:sz w:val="32"/>
          <w:szCs w:val="32"/>
        </w:rPr>
        <w:instrText xml:space="preserve"> PAGEREF _Toc16329 \h </w:instrText>
      </w:r>
      <w:r>
        <w:rPr>
          <w:rFonts w:ascii="仿宋_GB2312" w:hAnsi="Calibri"/>
          <w:color w:val="000000"/>
          <w:sz w:val="32"/>
          <w:szCs w:val="32"/>
        </w:rPr>
        <w:fldChar w:fldCharType="separate"/>
      </w:r>
      <w:r>
        <w:rPr>
          <w:rFonts w:ascii="仿宋_GB2312" w:hAnsi="Calibri"/>
          <w:color w:val="000000"/>
          <w:sz w:val="32"/>
          <w:szCs w:val="32"/>
        </w:rPr>
        <w:t>2</w:t>
      </w:r>
      <w:r>
        <w:rPr>
          <w:rFonts w:ascii="仿宋_GB2312" w:hAnsi="Calibri"/>
          <w:color w:val="000000"/>
          <w:sz w:val="32"/>
          <w:szCs w:val="32"/>
        </w:rPr>
        <w:fldChar w:fldCharType="end"/>
      </w:r>
      <w:r>
        <w:rPr>
          <w:rFonts w:ascii="仿宋_GB2312" w:hAnsi="Calibri"/>
          <w:color w:val="000000"/>
          <w:sz w:val="32"/>
          <w:szCs w:val="32"/>
        </w:rPr>
        <w:fldChar w:fldCharType="end"/>
      </w:r>
    </w:p>
    <w:p>
      <w:pPr>
        <w:pStyle w:val="11"/>
        <w:tabs>
          <w:tab w:val="right" w:leader="dot" w:pos="8306"/>
        </w:tabs>
        <w:adjustRightInd w:val="0"/>
        <w:snapToGrid w:val="0"/>
        <w:spacing w:line="360" w:lineRule="auto"/>
        <w:ind w:firstLine="300" w:firstLineChars="100"/>
        <w:rPr>
          <w:sz w:val="32"/>
          <w:szCs w:val="32"/>
        </w:rPr>
      </w:pPr>
      <w:r>
        <w:fldChar w:fldCharType="begin"/>
      </w:r>
      <w:r>
        <w:instrText xml:space="preserve"> HYPERLINK \l "_Toc23927" </w:instrText>
      </w:r>
      <w:r>
        <w:fldChar w:fldCharType="separate"/>
      </w:r>
      <w:r>
        <w:rPr>
          <w:rFonts w:hint="eastAsia" w:ascii="楷体_GB2312" w:hAnsi="楷体_GB2312" w:eastAsia="楷体_GB2312" w:cs="楷体_GB2312"/>
          <w:spacing w:val="-4"/>
          <w:sz w:val="32"/>
          <w:szCs w:val="32"/>
        </w:rPr>
        <w:t>（二）主要成效</w:t>
      </w:r>
      <w:r>
        <w:rPr>
          <w:sz w:val="32"/>
          <w:szCs w:val="32"/>
        </w:rPr>
        <w:tab/>
      </w:r>
      <w:r>
        <w:rPr>
          <w:rFonts w:ascii="仿宋_GB2312" w:hAnsi="Calibri"/>
          <w:color w:val="000000"/>
          <w:sz w:val="32"/>
          <w:szCs w:val="32"/>
        </w:rPr>
        <w:fldChar w:fldCharType="begin"/>
      </w:r>
      <w:r>
        <w:rPr>
          <w:rFonts w:ascii="仿宋_GB2312" w:hAnsi="Calibri"/>
          <w:color w:val="000000"/>
          <w:sz w:val="32"/>
          <w:szCs w:val="32"/>
        </w:rPr>
        <w:instrText xml:space="preserve"> PAGEREF _Toc23927 \h </w:instrText>
      </w:r>
      <w:r>
        <w:rPr>
          <w:rFonts w:ascii="仿宋_GB2312" w:hAnsi="Calibri"/>
          <w:color w:val="000000"/>
          <w:sz w:val="32"/>
          <w:szCs w:val="32"/>
        </w:rPr>
        <w:fldChar w:fldCharType="separate"/>
      </w:r>
      <w:r>
        <w:rPr>
          <w:rFonts w:ascii="仿宋_GB2312" w:hAnsi="Calibri"/>
          <w:color w:val="000000"/>
          <w:sz w:val="32"/>
          <w:szCs w:val="32"/>
        </w:rPr>
        <w:t>2</w:t>
      </w:r>
      <w:r>
        <w:rPr>
          <w:rFonts w:ascii="仿宋_GB2312" w:hAnsi="Calibri"/>
          <w:color w:val="000000"/>
          <w:sz w:val="32"/>
          <w:szCs w:val="32"/>
        </w:rPr>
        <w:fldChar w:fldCharType="end"/>
      </w:r>
      <w:r>
        <w:rPr>
          <w:rFonts w:ascii="仿宋_GB2312" w:hAnsi="Calibri"/>
          <w:color w:val="000000"/>
          <w:sz w:val="32"/>
          <w:szCs w:val="32"/>
        </w:rPr>
        <w:fldChar w:fldCharType="end"/>
      </w:r>
    </w:p>
    <w:p>
      <w:pPr>
        <w:pStyle w:val="10"/>
        <w:tabs>
          <w:tab w:val="right" w:leader="dot" w:pos="8306"/>
        </w:tabs>
        <w:adjustRightInd w:val="0"/>
        <w:spacing w:line="360" w:lineRule="auto"/>
        <w:rPr>
          <w:sz w:val="32"/>
          <w:szCs w:val="32"/>
        </w:rPr>
      </w:pPr>
      <w:r>
        <w:fldChar w:fldCharType="begin"/>
      </w:r>
      <w:r>
        <w:instrText xml:space="preserve"> HYPERLINK \l "_Toc23295" </w:instrText>
      </w:r>
      <w:r>
        <w:fldChar w:fldCharType="separate"/>
      </w:r>
      <w:r>
        <w:rPr>
          <w:rFonts w:hint="eastAsia" w:ascii="黑体" w:hAnsi="黑体" w:eastAsia="黑体" w:cs="黑体"/>
          <w:sz w:val="32"/>
          <w:szCs w:val="32"/>
        </w:rPr>
        <w:t>三、绩效自评抽查复核情况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_Toc23295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2</w:t>
      </w:r>
      <w:r>
        <w:rPr>
          <w:sz w:val="32"/>
          <w:szCs w:val="32"/>
        </w:rPr>
        <w:fldChar w:fldCharType="end"/>
      </w:r>
      <w:r>
        <w:rPr>
          <w:sz w:val="32"/>
          <w:szCs w:val="32"/>
        </w:rPr>
        <w:fldChar w:fldCharType="end"/>
      </w:r>
    </w:p>
    <w:p>
      <w:pPr>
        <w:pStyle w:val="11"/>
        <w:tabs>
          <w:tab w:val="right" w:leader="dot" w:pos="8306"/>
        </w:tabs>
        <w:adjustRightInd w:val="0"/>
        <w:snapToGrid w:val="0"/>
        <w:spacing w:line="360" w:lineRule="auto"/>
        <w:ind w:firstLine="300" w:firstLineChars="100"/>
        <w:rPr>
          <w:sz w:val="32"/>
          <w:szCs w:val="32"/>
        </w:rPr>
      </w:pPr>
      <w:r>
        <w:fldChar w:fldCharType="begin"/>
      </w:r>
      <w:r>
        <w:instrText xml:space="preserve"> HYPERLINK \l "_Toc23965" </w:instrText>
      </w:r>
      <w:r>
        <w:fldChar w:fldCharType="separate"/>
      </w:r>
      <w:r>
        <w:rPr>
          <w:rFonts w:hint="eastAsia" w:ascii="楷体_GB2312" w:hAnsi="楷体_GB2312" w:eastAsia="楷体_GB2312" w:cs="楷体_GB2312"/>
          <w:sz w:val="32"/>
          <w:szCs w:val="32"/>
        </w:rPr>
        <w:t>（一）自评和抽查复核评分结果差异率分析</w:t>
      </w:r>
      <w:r>
        <w:rPr>
          <w:sz w:val="32"/>
          <w:szCs w:val="32"/>
        </w:rPr>
        <w:tab/>
      </w:r>
      <w:r>
        <w:rPr>
          <w:rFonts w:ascii="仿宋_GB2312" w:hAnsi="Calibri"/>
          <w:color w:val="000000"/>
          <w:sz w:val="32"/>
          <w:szCs w:val="32"/>
        </w:rPr>
        <w:fldChar w:fldCharType="begin"/>
      </w:r>
      <w:r>
        <w:rPr>
          <w:rFonts w:ascii="仿宋_GB2312" w:hAnsi="Calibri"/>
          <w:color w:val="000000"/>
          <w:sz w:val="32"/>
          <w:szCs w:val="32"/>
        </w:rPr>
        <w:instrText xml:space="preserve"> PAGEREF _Toc23965 \h </w:instrText>
      </w:r>
      <w:r>
        <w:rPr>
          <w:rFonts w:ascii="仿宋_GB2312" w:hAnsi="Calibri"/>
          <w:color w:val="000000"/>
          <w:sz w:val="32"/>
          <w:szCs w:val="32"/>
        </w:rPr>
        <w:fldChar w:fldCharType="separate"/>
      </w:r>
      <w:r>
        <w:rPr>
          <w:rFonts w:ascii="仿宋_GB2312" w:hAnsi="Calibri"/>
          <w:color w:val="000000"/>
          <w:sz w:val="32"/>
          <w:szCs w:val="32"/>
        </w:rPr>
        <w:t>2</w:t>
      </w:r>
      <w:r>
        <w:rPr>
          <w:rFonts w:ascii="仿宋_GB2312" w:hAnsi="Calibri"/>
          <w:color w:val="000000"/>
          <w:sz w:val="32"/>
          <w:szCs w:val="32"/>
        </w:rPr>
        <w:fldChar w:fldCharType="end"/>
      </w:r>
      <w:r>
        <w:rPr>
          <w:rFonts w:ascii="仿宋_GB2312" w:hAnsi="Calibri"/>
          <w:color w:val="000000"/>
          <w:sz w:val="32"/>
          <w:szCs w:val="32"/>
        </w:rPr>
        <w:fldChar w:fldCharType="end"/>
      </w:r>
    </w:p>
    <w:p>
      <w:pPr>
        <w:pStyle w:val="11"/>
        <w:tabs>
          <w:tab w:val="right" w:leader="dot" w:pos="8306"/>
        </w:tabs>
        <w:adjustRightInd w:val="0"/>
        <w:snapToGrid w:val="0"/>
        <w:spacing w:line="360" w:lineRule="auto"/>
        <w:ind w:firstLine="300" w:firstLineChars="100"/>
        <w:rPr>
          <w:sz w:val="32"/>
          <w:szCs w:val="32"/>
        </w:rPr>
      </w:pPr>
      <w:r>
        <w:fldChar w:fldCharType="begin"/>
      </w:r>
      <w:r>
        <w:instrText xml:space="preserve"> HYPERLINK \l "_Toc10063" </w:instrText>
      </w:r>
      <w:r>
        <w:fldChar w:fldCharType="separate"/>
      </w:r>
      <w:r>
        <w:rPr>
          <w:rFonts w:hint="eastAsia" w:ascii="楷体_GB2312" w:hAnsi="楷体_GB2312" w:eastAsia="楷体_GB2312" w:cs="楷体_GB2312"/>
          <w:sz w:val="32"/>
          <w:szCs w:val="32"/>
        </w:rPr>
        <w:t>（二）抽查复核发现的问题</w:t>
      </w:r>
      <w:r>
        <w:rPr>
          <w:sz w:val="32"/>
          <w:szCs w:val="32"/>
        </w:rPr>
        <w:tab/>
      </w:r>
      <w:r>
        <w:rPr>
          <w:rFonts w:ascii="仿宋_GB2312" w:hAnsi="Calibri"/>
          <w:color w:val="000000"/>
          <w:sz w:val="32"/>
          <w:szCs w:val="32"/>
        </w:rPr>
        <w:fldChar w:fldCharType="begin"/>
      </w:r>
      <w:r>
        <w:rPr>
          <w:rFonts w:ascii="仿宋_GB2312" w:hAnsi="Calibri"/>
          <w:color w:val="000000"/>
          <w:sz w:val="32"/>
          <w:szCs w:val="32"/>
        </w:rPr>
        <w:instrText xml:space="preserve"> PAGEREF _Toc10063 \h </w:instrText>
      </w:r>
      <w:r>
        <w:rPr>
          <w:rFonts w:ascii="仿宋_GB2312" w:hAnsi="Calibri"/>
          <w:color w:val="000000"/>
          <w:sz w:val="32"/>
          <w:szCs w:val="32"/>
        </w:rPr>
        <w:fldChar w:fldCharType="separate"/>
      </w:r>
      <w:r>
        <w:rPr>
          <w:rFonts w:ascii="仿宋_GB2312" w:hAnsi="Calibri"/>
          <w:color w:val="000000"/>
          <w:sz w:val="32"/>
          <w:szCs w:val="32"/>
        </w:rPr>
        <w:t>2</w:t>
      </w:r>
      <w:r>
        <w:rPr>
          <w:rFonts w:ascii="仿宋_GB2312" w:hAnsi="Calibri"/>
          <w:color w:val="000000"/>
          <w:sz w:val="32"/>
          <w:szCs w:val="32"/>
        </w:rPr>
        <w:fldChar w:fldCharType="end"/>
      </w:r>
      <w:r>
        <w:rPr>
          <w:rFonts w:ascii="仿宋_GB2312" w:hAnsi="Calibri"/>
          <w:color w:val="000000"/>
          <w:sz w:val="32"/>
          <w:szCs w:val="32"/>
        </w:rPr>
        <w:fldChar w:fldCharType="end"/>
      </w:r>
    </w:p>
    <w:p>
      <w:pPr>
        <w:pStyle w:val="10"/>
        <w:tabs>
          <w:tab w:val="right" w:leader="dot" w:pos="8306"/>
        </w:tabs>
        <w:adjustRightInd w:val="0"/>
        <w:spacing w:line="360" w:lineRule="auto"/>
        <w:rPr>
          <w:sz w:val="32"/>
          <w:szCs w:val="32"/>
        </w:rPr>
      </w:pPr>
      <w:r>
        <w:fldChar w:fldCharType="begin"/>
      </w:r>
      <w:r>
        <w:instrText xml:space="preserve"> HYPERLINK \l "_Toc19466" </w:instrText>
      </w:r>
      <w:r>
        <w:fldChar w:fldCharType="separate"/>
      </w:r>
      <w:r>
        <w:rPr>
          <w:rFonts w:hint="eastAsia" w:ascii="黑体" w:hAnsi="黑体" w:eastAsia="黑体" w:cs="黑体"/>
          <w:sz w:val="32"/>
          <w:szCs w:val="32"/>
        </w:rPr>
        <w:t>四、意见建议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_Toc19466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3</w:t>
      </w:r>
      <w:r>
        <w:rPr>
          <w:sz w:val="32"/>
          <w:szCs w:val="32"/>
        </w:rPr>
        <w:fldChar w:fldCharType="end"/>
      </w:r>
      <w:r>
        <w:rPr>
          <w:sz w:val="32"/>
          <w:szCs w:val="32"/>
        </w:rPr>
        <w:fldChar w:fldCharType="end"/>
      </w:r>
    </w:p>
    <w:p>
      <w:pPr>
        <w:pStyle w:val="26"/>
        <w:numPr>
          <w:ilvl w:val="255"/>
          <w:numId w:val="0"/>
        </w:numPr>
        <w:adjustRightInd w:val="0"/>
        <w:snapToGrid w:val="0"/>
        <w:spacing w:line="360" w:lineRule="auto"/>
        <w:ind w:left="2730"/>
        <w:rPr>
          <w:rFonts w:ascii="黑体" w:hAnsi="黑体" w:eastAsia="黑体" w:cs="黑体"/>
          <w:sz w:val="32"/>
          <w:szCs w:val="32"/>
        </w:rPr>
      </w:pPr>
      <w:r>
        <w:rPr>
          <w:rFonts w:eastAsia="宋体"/>
          <w:bCs/>
          <w:sz w:val="32"/>
          <w:szCs w:val="32"/>
        </w:rPr>
        <w:fldChar w:fldCharType="end"/>
      </w:r>
    </w:p>
    <w:p>
      <w:pPr>
        <w:pStyle w:val="2"/>
        <w:widowControl/>
        <w:overflowPunct w:val="0"/>
        <w:autoSpaceDE w:val="0"/>
        <w:autoSpaceDN w:val="0"/>
        <w:adjustRightInd w:val="0"/>
        <w:snapToGrid w:val="0"/>
        <w:spacing w:line="240" w:lineRule="auto"/>
        <w:ind w:firstLine="480" w:firstLineChars="200"/>
        <w:textAlignment w:val="baseline"/>
        <w:rPr>
          <w:rFonts w:eastAsia="宋体"/>
          <w:b w:val="0"/>
          <w:bCs/>
          <w:sz w:val="24"/>
        </w:rPr>
      </w:pPr>
    </w:p>
    <w:p>
      <w:pPr>
        <w:sectPr>
          <w:footerReference r:id="rId3" w:type="default"/>
          <w:pgSz w:w="11906" w:h="16838"/>
          <w:pgMar w:top="1440" w:right="1800" w:bottom="1440" w:left="1800" w:header="737" w:footer="851" w:gutter="0"/>
          <w:pgNumType w:start="1"/>
          <w:cols w:space="720" w:num="1"/>
          <w:docGrid w:type="lines" w:linePitch="408" w:charSpace="0"/>
        </w:sectPr>
      </w:pPr>
      <w:r>
        <w:rPr>
          <w:rFonts w:hint="eastAsia"/>
        </w:rPr>
        <w:t xml:space="preserve"> </w:t>
      </w:r>
    </w:p>
    <w:p>
      <w:pPr>
        <w:tabs>
          <w:tab w:val="left" w:pos="3618"/>
        </w:tabs>
        <w:spacing w:line="580" w:lineRule="exact"/>
        <w:jc w:val="left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ab/>
      </w:r>
    </w:p>
    <w:p>
      <w:pPr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统计工作经费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绩效自评抽查</w:t>
      </w:r>
    </w:p>
    <w:p>
      <w:pPr>
        <w:spacing w:line="58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复核报告</w:t>
      </w:r>
    </w:p>
    <w:p>
      <w:pPr>
        <w:spacing w:line="58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6"/>
        <w:spacing w:line="580" w:lineRule="exact"/>
        <w:ind w:left="640" w:firstLine="0" w:firstLineChars="0"/>
        <w:outlineLvl w:val="0"/>
        <w:rPr>
          <w:rFonts w:ascii="黑体" w:hAnsi="黑体" w:eastAsia="黑体" w:cs="黑体"/>
          <w:sz w:val="32"/>
          <w:szCs w:val="32"/>
        </w:rPr>
      </w:pPr>
      <w:bookmarkStart w:id="0" w:name="_Toc4413"/>
      <w:bookmarkStart w:id="1" w:name="_Toc27098"/>
      <w:bookmarkStart w:id="2" w:name="_Toc11904"/>
      <w:bookmarkStart w:id="3" w:name="_Toc20850"/>
      <w:r>
        <w:rPr>
          <w:rFonts w:hint="eastAsia" w:ascii="黑体" w:hAnsi="黑体" w:eastAsia="黑体" w:cs="黑体"/>
          <w:sz w:val="32"/>
          <w:szCs w:val="32"/>
        </w:rPr>
        <w:t>一、组织情况（抽查组织情况）</w:t>
      </w:r>
      <w:bookmarkEnd w:id="0"/>
      <w:bookmarkEnd w:id="1"/>
      <w:bookmarkEnd w:id="2"/>
      <w:bookmarkEnd w:id="3"/>
    </w:p>
    <w:p>
      <w:pPr>
        <w:pStyle w:val="3"/>
        <w:keepNext w:val="0"/>
        <w:widowControl/>
        <w:overflowPunct w:val="0"/>
        <w:autoSpaceDE w:val="0"/>
        <w:autoSpaceDN w:val="0"/>
        <w:adjustRightInd w:val="0"/>
        <w:snapToGrid w:val="0"/>
        <w:spacing w:before="0" w:after="0" w:line="580" w:lineRule="exact"/>
        <w:ind w:firstLine="640" w:firstLineChars="200"/>
        <w:textAlignment w:val="baseline"/>
        <w:rPr>
          <w:rFonts w:ascii="Cambria" w:hAnsi="Cambria" w:eastAsia="楷体"/>
          <w:b w:val="0"/>
          <w:bCs w:val="0"/>
          <w:kern w:val="0"/>
        </w:rPr>
      </w:pPr>
      <w:bookmarkStart w:id="4" w:name="_Toc21684"/>
      <w:bookmarkStart w:id="5" w:name="_Toc23777"/>
      <w:bookmarkStart w:id="6" w:name="_Toc78653001"/>
      <w:bookmarkStart w:id="7" w:name="_Toc11369"/>
      <w:bookmarkStart w:id="8" w:name="_Toc11751"/>
      <w:r>
        <w:rPr>
          <w:rFonts w:hint="eastAsia" w:ascii="Cambria" w:hAnsi="Cambria" w:eastAsia="楷体"/>
          <w:b w:val="0"/>
          <w:bCs w:val="0"/>
          <w:kern w:val="0"/>
        </w:rPr>
        <w:t>（一）抽查复核目的和对象</w:t>
      </w:r>
      <w:bookmarkEnd w:id="4"/>
      <w:bookmarkEnd w:id="5"/>
      <w:bookmarkEnd w:id="6"/>
      <w:bookmarkEnd w:id="7"/>
      <w:bookmarkEnd w:id="8"/>
    </w:p>
    <w:p>
      <w:pPr>
        <w:spacing w:line="580" w:lineRule="exact"/>
        <w:ind w:firstLine="640" w:firstLineChars="200"/>
        <w:rPr>
          <w:rFonts w:ascii="仿宋_GB2312" w:hAnsi="仿宋"/>
          <w:sz w:val="32"/>
          <w:szCs w:val="32"/>
        </w:rPr>
      </w:pPr>
      <w:r>
        <w:rPr>
          <w:rFonts w:hint="eastAsia" w:ascii="仿宋_GB2312" w:hAnsi="仿宋"/>
          <w:sz w:val="32"/>
          <w:szCs w:val="32"/>
        </w:rPr>
        <w:t>1.</w:t>
      </w:r>
      <w:r>
        <w:rPr>
          <w:rFonts w:hint="eastAsia" w:ascii="Cambria" w:hAnsi="Cambria" w:eastAsia="楷体"/>
          <w:b/>
          <w:bCs/>
          <w:kern w:val="0"/>
        </w:rPr>
        <w:t xml:space="preserve"> 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抽查复核目的</w:t>
      </w:r>
    </w:p>
    <w:p>
      <w:pPr>
        <w:autoSpaceDE w:val="0"/>
        <w:autoSpaceDN w:val="0"/>
        <w:adjustRightInd w:val="0"/>
        <w:spacing w:line="580" w:lineRule="exact"/>
        <w:ind w:firstLine="624" w:firstLineChars="200"/>
        <w:jc w:val="left"/>
        <w:rPr>
          <w:rFonts w:ascii="仿宋_GB2312" w:hAnsi="楷体_GB2312" w:eastAsia="仿宋_GB2312" w:cs="楷体_GB2312"/>
          <w:spacing w:val="-4"/>
          <w:sz w:val="32"/>
          <w:szCs w:val="32"/>
        </w:rPr>
      </w:pPr>
      <w:bookmarkStart w:id="9" w:name="_Toc14593"/>
      <w:bookmarkStart w:id="10" w:name="_Toc32652"/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通过对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2025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年度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统计工作经费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单位自评的预算执行和绩效目标完成情况进行客观、公正的复核，总结项目实施过程中的经验做法，发现完整性、规范性、真实性和准确性方面存在的问题，提出改进建议，提高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统计工作经费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的使用效率。</w:t>
      </w:r>
      <w:bookmarkEnd w:id="9"/>
      <w:bookmarkEnd w:id="10"/>
    </w:p>
    <w:p>
      <w:pPr>
        <w:spacing w:line="580" w:lineRule="exact"/>
        <w:ind w:firstLine="640" w:firstLineChars="200"/>
        <w:rPr>
          <w:rFonts w:ascii="仿宋_GB2312" w:hAnsi="仿宋"/>
          <w:sz w:val="32"/>
          <w:szCs w:val="32"/>
        </w:rPr>
      </w:pPr>
      <w:r>
        <w:rPr>
          <w:rFonts w:hint="eastAsia" w:ascii="仿宋_GB2312" w:hAnsi="仿宋"/>
          <w:sz w:val="32"/>
          <w:szCs w:val="32"/>
        </w:rPr>
        <w:t>2.</w:t>
      </w:r>
      <w:r>
        <w:rPr>
          <w:rFonts w:hint="eastAsia" w:ascii="Cambria" w:hAnsi="Cambria" w:eastAsia="楷体"/>
          <w:b/>
          <w:bCs/>
          <w:kern w:val="0"/>
        </w:rPr>
        <w:t xml:space="preserve"> 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抽查复核对象</w:t>
      </w:r>
    </w:p>
    <w:p>
      <w:pPr>
        <w:spacing w:line="580" w:lineRule="exact"/>
        <w:ind w:firstLine="624" w:firstLineChars="200"/>
        <w:rPr>
          <w:rFonts w:hint="eastAsia" w:ascii="仿宋_GB2312" w:hAnsi="楷体_GB2312" w:eastAsia="仿宋_GB2312" w:cs="楷体_GB2312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2025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年度单位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统计工作经费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自评表及证明资料，包括：</w:t>
      </w:r>
    </w:p>
    <w:p>
      <w:pPr>
        <w:autoSpaceDE w:val="0"/>
        <w:autoSpaceDN w:val="0"/>
        <w:adjustRightInd w:val="0"/>
        <w:spacing w:line="540" w:lineRule="exact"/>
        <w:ind w:firstLine="624" w:firstLineChars="200"/>
        <w:jc w:val="left"/>
        <w:rPr>
          <w:rFonts w:ascii="仿宋_GB2312" w:hAnsi="楷体_GB2312" w:eastAsia="仿宋_GB2312" w:cs="楷体_GB2312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（1）批复的202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5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年度项目支出绩效目标申报表，预算批复和相关预算执行数据资料、会计明细账、会计凭证等；</w:t>
      </w:r>
    </w:p>
    <w:p>
      <w:pPr>
        <w:autoSpaceDE w:val="0"/>
        <w:autoSpaceDN w:val="0"/>
        <w:adjustRightInd w:val="0"/>
        <w:spacing w:line="540" w:lineRule="exact"/>
        <w:ind w:firstLine="624" w:firstLineChars="200"/>
        <w:jc w:val="left"/>
        <w:rPr>
          <w:rFonts w:ascii="仿宋_GB2312" w:hAnsi="楷体_GB2312" w:eastAsia="仿宋_GB2312" w:cs="楷体_GB2312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（2）202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5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年度项目支出绩效单位自评表及相关佐证资料；</w:t>
      </w:r>
    </w:p>
    <w:p>
      <w:pPr>
        <w:spacing w:line="580" w:lineRule="exact"/>
        <w:ind w:firstLine="624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（3）202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5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年度项目支出自评结果应用资料</w:t>
      </w:r>
      <w:r>
        <w:rPr>
          <w:rFonts w:hint="eastAsia" w:ascii="仿宋_GB2312" w:hAnsi="仿宋_GB2312" w:cs="仿宋_GB2312"/>
          <w:sz w:val="32"/>
          <w:szCs w:val="32"/>
        </w:rPr>
        <w:t>。</w:t>
      </w:r>
    </w:p>
    <w:p>
      <w:pPr>
        <w:pStyle w:val="3"/>
        <w:keepNext w:val="0"/>
        <w:widowControl/>
        <w:overflowPunct w:val="0"/>
        <w:autoSpaceDE w:val="0"/>
        <w:autoSpaceDN w:val="0"/>
        <w:adjustRightInd w:val="0"/>
        <w:snapToGrid w:val="0"/>
        <w:spacing w:before="0" w:after="0" w:line="580" w:lineRule="exact"/>
        <w:ind w:firstLine="640" w:firstLineChars="200"/>
        <w:textAlignment w:val="baseline"/>
        <w:rPr>
          <w:rFonts w:ascii="Cambria" w:hAnsi="Cambria" w:eastAsia="楷体"/>
          <w:b w:val="0"/>
          <w:bCs w:val="0"/>
          <w:kern w:val="0"/>
        </w:rPr>
      </w:pPr>
      <w:bookmarkStart w:id="11" w:name="_Toc78653003"/>
      <w:bookmarkStart w:id="12" w:name="_Toc419"/>
      <w:bookmarkStart w:id="13" w:name="_Toc3766"/>
      <w:bookmarkStart w:id="14" w:name="_Toc3668"/>
      <w:bookmarkStart w:id="15" w:name="_Toc19067"/>
      <w:r>
        <w:rPr>
          <w:rFonts w:hint="eastAsia" w:ascii="Cambria" w:hAnsi="Cambria" w:eastAsia="楷体"/>
          <w:b w:val="0"/>
          <w:bCs w:val="0"/>
          <w:kern w:val="0"/>
        </w:rPr>
        <w:t>（二）抽查复核依据、方法和标准</w:t>
      </w:r>
      <w:bookmarkEnd w:id="11"/>
      <w:bookmarkEnd w:id="12"/>
      <w:bookmarkEnd w:id="13"/>
      <w:bookmarkEnd w:id="14"/>
      <w:bookmarkEnd w:id="15"/>
    </w:p>
    <w:p>
      <w:pPr>
        <w:spacing w:line="580" w:lineRule="exact"/>
        <w:ind w:firstLine="624" w:firstLineChars="200"/>
        <w:rPr>
          <w:rFonts w:ascii="仿宋_GB2312" w:hAnsi="楷体_GB2312" w:eastAsia="仿宋_GB2312" w:cs="楷体_GB2312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1. 抽查复核依据</w:t>
      </w:r>
    </w:p>
    <w:p>
      <w:pPr>
        <w:spacing w:line="580" w:lineRule="exact"/>
        <w:ind w:firstLine="624" w:firstLineChars="200"/>
        <w:rPr>
          <w:rFonts w:ascii="仿宋_GB2312" w:hAnsi="楷体_GB2312" w:eastAsia="仿宋_GB2312" w:cs="楷体_GB2312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本次绩效评价依据的财政相关文件包括《关于全面实施预算绩效管理的意见》（中发〔2018〕34号）、《关于印发&lt;项目支出绩效评价管理办法&gt;的通知》（财预〔2020〕10号）等文件精神。</w:t>
      </w:r>
    </w:p>
    <w:p>
      <w:pPr>
        <w:spacing w:line="580" w:lineRule="exact"/>
        <w:ind w:firstLine="624" w:firstLineChars="200"/>
        <w:rPr>
          <w:rFonts w:ascii="仿宋_GB2312" w:hAnsi="楷体_GB2312" w:eastAsia="仿宋_GB2312" w:cs="楷体_GB2312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2. 抽查复核方法</w:t>
      </w:r>
    </w:p>
    <w:p>
      <w:pPr>
        <w:spacing w:line="580" w:lineRule="exact"/>
        <w:ind w:firstLine="624" w:firstLineChars="200"/>
        <w:rPr>
          <w:rFonts w:ascii="仿宋_GB2312" w:hAnsi="楷体_GB2312" w:eastAsia="仿宋_GB2312" w:cs="楷体_GB2312"/>
          <w:spacing w:val="-4"/>
          <w:sz w:val="32"/>
          <w:szCs w:val="32"/>
        </w:rPr>
      </w:pPr>
      <w:bookmarkStart w:id="16" w:name="_Toc78653004"/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为保证评价工作的科学性，根据预算部门及单位提供的材料，采取资料审核及现场勘查等方式抽查复核。</w:t>
      </w:r>
      <w:bookmarkEnd w:id="16"/>
    </w:p>
    <w:p>
      <w:pPr>
        <w:spacing w:line="580" w:lineRule="exact"/>
        <w:ind w:firstLine="624" w:firstLineChars="200"/>
        <w:rPr>
          <w:rFonts w:ascii="仿宋_GB2312" w:hAnsi="楷体_GB2312" w:eastAsia="仿宋_GB2312" w:cs="楷体_GB2312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3. 抽查复核标准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24" w:firstLineChars="200"/>
        <w:jc w:val="left"/>
        <w:textAlignment w:val="auto"/>
        <w:rPr>
          <w:rFonts w:ascii="仿宋_GB2312" w:hAnsi="楷体_GB2312" w:eastAsia="仿宋_GB2312" w:cs="楷体_GB2312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根据《关于印发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&lt;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青岛西海岸新区预算绩效管理结果应用暂行办法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&gt;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的通知》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(</w:t>
      </w:r>
      <w:r>
        <w:rPr>
          <w:rFonts w:hint="eastAsia" w:ascii="仿宋_GB2312" w:eastAsia="仿宋_GB2312"/>
          <w:sz w:val="32"/>
        </w:rPr>
        <w:t>青西新财〔2023〕225号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)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，本次绩效评价综合绩效级别具体分为4个等级：</w:t>
      </w:r>
    </w:p>
    <w:p>
      <w:pPr>
        <w:autoSpaceDE w:val="0"/>
        <w:autoSpaceDN w:val="0"/>
        <w:adjustRightInd w:val="0"/>
        <w:spacing w:line="580" w:lineRule="exact"/>
        <w:ind w:firstLine="624" w:firstLineChars="200"/>
        <w:jc w:val="left"/>
        <w:rPr>
          <w:rFonts w:ascii="仿宋_GB2312" w:hAnsi="楷体_GB2312" w:eastAsia="仿宋_GB2312" w:cs="楷体_GB2312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综合得分在90分（含90分）以上为“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A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”；</w:t>
      </w:r>
    </w:p>
    <w:p>
      <w:pPr>
        <w:autoSpaceDE w:val="0"/>
        <w:autoSpaceDN w:val="0"/>
        <w:adjustRightInd w:val="0"/>
        <w:spacing w:line="580" w:lineRule="exact"/>
        <w:ind w:firstLine="624" w:firstLineChars="200"/>
        <w:jc w:val="left"/>
        <w:rPr>
          <w:rFonts w:ascii="仿宋_GB2312" w:hAnsi="楷体_GB2312" w:eastAsia="仿宋_GB2312" w:cs="楷体_GB2312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综合得分在80～90分（含80分）为“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B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”；</w:t>
      </w:r>
    </w:p>
    <w:p>
      <w:pPr>
        <w:autoSpaceDE w:val="0"/>
        <w:autoSpaceDN w:val="0"/>
        <w:adjustRightInd w:val="0"/>
        <w:spacing w:line="580" w:lineRule="exact"/>
        <w:ind w:firstLine="624" w:firstLineChars="200"/>
        <w:jc w:val="left"/>
        <w:rPr>
          <w:rFonts w:ascii="仿宋_GB2312" w:hAnsi="楷体_GB2312" w:eastAsia="仿宋_GB2312" w:cs="楷体_GB2312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综合得分在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60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～80分（含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6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0分）为“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C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”；</w:t>
      </w:r>
    </w:p>
    <w:p>
      <w:pPr>
        <w:autoSpaceDE w:val="0"/>
        <w:autoSpaceDN w:val="0"/>
        <w:adjustRightInd w:val="0"/>
        <w:spacing w:line="580" w:lineRule="exact"/>
        <w:ind w:firstLine="624" w:firstLineChars="200"/>
        <w:jc w:val="left"/>
        <w:rPr>
          <w:rFonts w:ascii="仿宋_GB2312" w:hAnsi="楷体_GB2312" w:eastAsia="仿宋_GB2312" w:cs="楷体_GB2312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综合得分在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60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分以下为“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D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”。</w:t>
      </w:r>
    </w:p>
    <w:p>
      <w:pPr>
        <w:spacing w:line="580" w:lineRule="exact"/>
        <w:ind w:firstLine="640" w:firstLineChars="200"/>
        <w:outlineLvl w:val="0"/>
        <w:rPr>
          <w:rFonts w:ascii="黑体" w:hAnsi="黑体" w:eastAsia="黑体" w:cs="黑体"/>
          <w:sz w:val="32"/>
          <w:szCs w:val="32"/>
        </w:rPr>
      </w:pPr>
      <w:bookmarkStart w:id="17" w:name="_Toc28438"/>
      <w:bookmarkStart w:id="18" w:name="_Toc12238"/>
      <w:bookmarkStart w:id="19" w:name="_Toc3191"/>
      <w:bookmarkStart w:id="20" w:name="_Toc17066"/>
      <w:r>
        <w:rPr>
          <w:rFonts w:hint="eastAsia" w:ascii="黑体" w:hAnsi="黑体" w:eastAsia="黑体" w:cs="黑体"/>
          <w:sz w:val="32"/>
          <w:szCs w:val="32"/>
        </w:rPr>
        <w:t>二、绩效自评开展情况</w:t>
      </w:r>
      <w:bookmarkEnd w:id="17"/>
      <w:bookmarkEnd w:id="18"/>
      <w:bookmarkEnd w:id="19"/>
      <w:bookmarkEnd w:id="20"/>
    </w:p>
    <w:p>
      <w:pPr>
        <w:autoSpaceDE w:val="0"/>
        <w:autoSpaceDN w:val="0"/>
        <w:adjustRightInd w:val="0"/>
        <w:spacing w:line="580" w:lineRule="exact"/>
        <w:ind w:firstLine="624" w:firstLineChars="200"/>
        <w:jc w:val="left"/>
        <w:outlineLvl w:val="1"/>
        <w:rPr>
          <w:rFonts w:ascii="楷体_GB2312" w:hAnsi="楷体_GB2312" w:eastAsia="楷体_GB2312" w:cs="楷体_GB2312"/>
          <w:spacing w:val="-4"/>
          <w:sz w:val="32"/>
          <w:szCs w:val="32"/>
        </w:rPr>
      </w:pPr>
      <w:bookmarkStart w:id="21" w:name="_Toc26575"/>
      <w:bookmarkStart w:id="22" w:name="_Toc16329"/>
      <w:bookmarkStart w:id="23" w:name="_Toc13477"/>
      <w:bookmarkStart w:id="24" w:name="_Toc5665"/>
      <w:r>
        <w:rPr>
          <w:rFonts w:hint="eastAsia" w:ascii="楷体_GB2312" w:hAnsi="楷体_GB2312" w:eastAsia="楷体_GB2312" w:cs="楷体_GB2312"/>
          <w:spacing w:val="-4"/>
          <w:sz w:val="32"/>
          <w:szCs w:val="32"/>
        </w:rPr>
        <w:t>（一）绩效自评整体情况</w:t>
      </w:r>
      <w:bookmarkEnd w:id="21"/>
      <w:bookmarkEnd w:id="22"/>
      <w:bookmarkEnd w:id="23"/>
      <w:bookmarkEnd w:id="24"/>
    </w:p>
    <w:p>
      <w:pPr>
        <w:autoSpaceDE w:val="0"/>
        <w:autoSpaceDN w:val="0"/>
        <w:adjustRightInd w:val="0"/>
        <w:spacing w:line="540" w:lineRule="exact"/>
        <w:ind w:firstLine="624" w:firstLineChars="200"/>
        <w:jc w:val="left"/>
        <w:outlineLvl w:val="1"/>
        <w:rPr>
          <w:rFonts w:ascii="仿宋_GB2312" w:hAnsi="楷体_GB2312" w:eastAsia="仿宋_GB2312" w:cs="楷体_GB2312"/>
          <w:spacing w:val="-4"/>
          <w:sz w:val="32"/>
          <w:szCs w:val="32"/>
        </w:rPr>
      </w:pPr>
      <w:r>
        <w:rPr>
          <w:rFonts w:ascii="仿宋_GB2312" w:hAnsi="楷体_GB2312" w:eastAsia="仿宋_GB2312" w:cs="楷体_GB2312"/>
          <w:spacing w:val="-4"/>
          <w:sz w:val="32"/>
          <w:szCs w:val="32"/>
        </w:rPr>
        <w:t>单位自评工作中评价指标完整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规范；</w:t>
      </w:r>
      <w:r>
        <w:rPr>
          <w:rFonts w:ascii="仿宋_GB2312" w:hAnsi="楷体_GB2312" w:eastAsia="仿宋_GB2312" w:cs="楷体_GB2312"/>
          <w:spacing w:val="-4"/>
          <w:sz w:val="32"/>
          <w:szCs w:val="32"/>
        </w:rPr>
        <w:t>赋分权重设置科学合理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，</w:t>
      </w:r>
      <w:r>
        <w:rPr>
          <w:rFonts w:ascii="仿宋_GB2312" w:hAnsi="楷体_GB2312" w:eastAsia="仿宋_GB2312" w:cs="楷体_GB2312"/>
          <w:spacing w:val="-4"/>
          <w:sz w:val="32"/>
          <w:szCs w:val="32"/>
        </w:rPr>
        <w:t>佐证材料充分可靠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，</w:t>
      </w:r>
      <w:r>
        <w:rPr>
          <w:rFonts w:ascii="仿宋_GB2312" w:hAnsi="楷体_GB2312" w:eastAsia="仿宋_GB2312" w:cs="楷体_GB2312"/>
          <w:spacing w:val="-4"/>
          <w:sz w:val="32"/>
          <w:szCs w:val="32"/>
        </w:rPr>
        <w:t>评分客观合理。</w:t>
      </w:r>
    </w:p>
    <w:p>
      <w:pPr>
        <w:autoSpaceDE w:val="0"/>
        <w:autoSpaceDN w:val="0"/>
        <w:adjustRightInd w:val="0"/>
        <w:spacing w:line="580" w:lineRule="exact"/>
        <w:ind w:firstLine="624" w:firstLineChars="200"/>
        <w:jc w:val="left"/>
        <w:rPr>
          <w:rFonts w:ascii="仿宋_GB2312" w:hAnsi="楷体_GB2312" w:eastAsia="仿宋_GB2312" w:cs="楷体_GB2312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单位自评总得分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99.35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分，等级为“优”。预算执行率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93.52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%，得分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9.35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分。绩效目标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14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个，完成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14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个，无未完成情况。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580" w:lineRule="exact"/>
        <w:ind w:firstLine="624" w:firstLineChars="200"/>
        <w:jc w:val="left"/>
        <w:outlineLvl w:val="1"/>
        <w:rPr>
          <w:rFonts w:hint="eastAsia" w:ascii="楷体_GB2312" w:hAnsi="楷体_GB2312" w:eastAsia="楷体_GB2312" w:cs="楷体_GB2312"/>
          <w:spacing w:val="-4"/>
          <w:sz w:val="32"/>
          <w:szCs w:val="32"/>
        </w:rPr>
      </w:pPr>
      <w:bookmarkStart w:id="25" w:name="_Toc14915"/>
      <w:bookmarkStart w:id="26" w:name="_Toc23927"/>
      <w:bookmarkStart w:id="27" w:name="_Toc10272"/>
      <w:bookmarkStart w:id="28" w:name="_Toc8801"/>
      <w:r>
        <w:rPr>
          <w:rFonts w:hint="eastAsia" w:ascii="楷体_GB2312" w:hAnsi="楷体_GB2312" w:eastAsia="楷体_GB2312" w:cs="楷体_GB2312"/>
          <w:spacing w:val="-4"/>
          <w:sz w:val="32"/>
          <w:szCs w:val="32"/>
        </w:rPr>
        <w:t>主要成效</w:t>
      </w:r>
      <w:bookmarkEnd w:id="25"/>
      <w:bookmarkEnd w:id="26"/>
      <w:bookmarkEnd w:id="27"/>
      <w:bookmarkEnd w:id="28"/>
    </w:p>
    <w:p>
      <w:pPr>
        <w:numPr>
          <w:ilvl w:val="0"/>
          <w:numId w:val="0"/>
        </w:numPr>
        <w:autoSpaceDE w:val="0"/>
        <w:autoSpaceDN w:val="0"/>
        <w:adjustRightInd w:val="0"/>
        <w:spacing w:line="580" w:lineRule="exact"/>
        <w:jc w:val="left"/>
        <w:outlineLvl w:val="1"/>
        <w:rPr>
          <w:rFonts w:hint="default" w:ascii="仿宋_GB2312" w:hAnsi="楷体_GB2312" w:eastAsia="仿宋_GB2312" w:cs="楷体_GB2312"/>
          <w:spacing w:val="-4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pacing w:val="-4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统计工作经费保障了地区GDP核算、投资、工业、服务业、贸易、能源、科技等相关统计调查工作的开展，审核、分析、发布了统计数据，指导服务统计调查企业3100余家，指导合格率达到100%；开展了2025年年度1%人口抽样调查等专项统计工作，提供专业统计数据，数据合格率达到100%；开展统计执法检查工作，检查企业150余家，确保了统计数据真实、准确、完整、及时；完成了西海岸新区统计年鉴、五经普年鉴、统计公报等统计资料制作印刷，资料印刷合格率100%。</w:t>
      </w:r>
    </w:p>
    <w:p>
      <w:pPr>
        <w:spacing w:line="580" w:lineRule="exact"/>
        <w:ind w:firstLine="640" w:firstLineChars="200"/>
        <w:outlineLvl w:val="0"/>
        <w:rPr>
          <w:rFonts w:ascii="黑体" w:hAnsi="黑体" w:eastAsia="黑体" w:cs="黑体"/>
          <w:sz w:val="32"/>
          <w:szCs w:val="32"/>
        </w:rPr>
      </w:pPr>
      <w:bookmarkStart w:id="29" w:name="_Toc23295"/>
      <w:bookmarkStart w:id="30" w:name="_Toc16284"/>
      <w:bookmarkStart w:id="31" w:name="_Toc5430"/>
      <w:bookmarkStart w:id="32" w:name="_Toc19161"/>
      <w:r>
        <w:rPr>
          <w:rFonts w:hint="eastAsia" w:ascii="黑体" w:hAnsi="黑体" w:eastAsia="黑体" w:cs="黑体"/>
          <w:sz w:val="32"/>
          <w:szCs w:val="32"/>
        </w:rPr>
        <w:t>三、绩效自评抽查复核情况</w:t>
      </w:r>
      <w:bookmarkEnd w:id="29"/>
      <w:bookmarkEnd w:id="30"/>
      <w:bookmarkEnd w:id="31"/>
      <w:bookmarkEnd w:id="32"/>
    </w:p>
    <w:p>
      <w:pPr>
        <w:tabs>
          <w:tab w:val="left" w:pos="7230"/>
          <w:tab w:val="left" w:pos="7938"/>
        </w:tabs>
        <w:ind w:firstLine="640" w:firstLineChars="200"/>
        <w:jc w:val="left"/>
        <w:outlineLvl w:val="1"/>
        <w:rPr>
          <w:rFonts w:ascii="楷体_GB2312" w:hAnsi="楷体_GB2312" w:eastAsia="楷体_GB2312" w:cs="楷体_GB2312"/>
          <w:bCs/>
          <w:spacing w:val="-4"/>
          <w:sz w:val="32"/>
          <w:szCs w:val="32"/>
        </w:rPr>
      </w:pPr>
      <w:bookmarkStart w:id="33" w:name="_Toc13544"/>
      <w:bookmarkStart w:id="34" w:name="_Toc23965"/>
      <w:bookmarkStart w:id="35" w:name="_Toc31627"/>
      <w:bookmarkStart w:id="36" w:name="_Toc20219"/>
      <w:r>
        <w:rPr>
          <w:rFonts w:hint="eastAsia" w:ascii="楷体_GB2312" w:hAnsi="楷体_GB2312" w:eastAsia="楷体_GB2312" w:cs="楷体_GB2312"/>
          <w:sz w:val="32"/>
          <w:szCs w:val="32"/>
        </w:rPr>
        <w:t>（一）自评和抽查复核评分结果差异率分析</w:t>
      </w:r>
      <w:bookmarkEnd w:id="33"/>
      <w:bookmarkEnd w:id="34"/>
      <w:bookmarkEnd w:id="35"/>
      <w:bookmarkEnd w:id="36"/>
    </w:p>
    <w:p>
      <w:pPr>
        <w:tabs>
          <w:tab w:val="left" w:pos="7230"/>
          <w:tab w:val="left" w:pos="7938"/>
        </w:tabs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1.差异率整体情况</w:t>
      </w:r>
    </w:p>
    <w:p>
      <w:pPr>
        <w:spacing w:line="580" w:lineRule="exact"/>
        <w:ind w:firstLine="624" w:firstLineChars="200"/>
        <w:rPr>
          <w:rFonts w:hint="eastAsia" w:ascii="仿宋_GB2312" w:hAnsi="楷体_GB2312" w:eastAsia="仿宋_GB2312" w:cs="楷体_GB2312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自评得分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99.35分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，复核得分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94.85分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，差异值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-4.5分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，差异率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-4.53%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（差异率=（复核评分-自评评分）/自评得分*100%）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差异个数占自评指标比重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14.29%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。</w:t>
      </w:r>
    </w:p>
    <w:p>
      <w:pPr>
        <w:tabs>
          <w:tab w:val="left" w:pos="7230"/>
          <w:tab w:val="left" w:pos="7938"/>
        </w:tabs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2.差异率主要原因</w:t>
      </w:r>
    </w:p>
    <w:p>
      <w:pPr>
        <w:tabs>
          <w:tab w:val="left" w:pos="7230"/>
          <w:tab w:val="left" w:pos="7938"/>
        </w:tabs>
        <w:ind w:firstLine="624" w:firstLineChars="200"/>
        <w:jc w:val="left"/>
        <w:rPr>
          <w:rFonts w:ascii="仿宋_GB2312" w:hAnsi="楷体_GB2312" w:eastAsia="仿宋_GB2312" w:cs="楷体_GB2312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满意度指标被调查对象满意度，自评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满意度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90</w:t>
      </w:r>
      <w:r>
        <w:rPr>
          <w:rFonts w:ascii="仿宋_GB2312" w:hAnsi="楷体_GB2312" w:eastAsia="仿宋_GB2312" w:cs="楷体_GB2312"/>
          <w:spacing w:val="-4"/>
          <w:sz w:val="32"/>
          <w:szCs w:val="32"/>
        </w:rPr>
        <w:t>%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，自评得分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5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分，复核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满意度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50</w:t>
      </w:r>
      <w:r>
        <w:rPr>
          <w:rFonts w:ascii="仿宋_GB2312" w:hAnsi="楷体_GB2312" w:eastAsia="仿宋_GB2312" w:cs="楷体_GB2312"/>
          <w:spacing w:val="-4"/>
          <w:sz w:val="32"/>
          <w:szCs w:val="32"/>
        </w:rPr>
        <w:t>%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，复核得分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2.5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分。原因在满意度调查中，只是抽取了部分被调查对象调查满意度，调查不够全面，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方式单一，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佐证材料不够充分。</w:t>
      </w:r>
    </w:p>
    <w:p>
      <w:pPr>
        <w:numPr>
          <w:ilvl w:val="0"/>
          <w:numId w:val="0"/>
        </w:numPr>
        <w:spacing w:line="580" w:lineRule="exact"/>
        <w:ind w:firstLine="624" w:firstLineChars="200"/>
        <w:rPr>
          <w:rFonts w:hint="default" w:ascii="仿宋_GB2312" w:hAnsi="楷体_GB2312" w:eastAsia="仿宋_GB2312" w:cs="楷体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满意度指标基层统计机构满意度，自评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满意度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90</w:t>
      </w:r>
      <w:r>
        <w:rPr>
          <w:rFonts w:ascii="仿宋_GB2312" w:hAnsi="楷体_GB2312" w:eastAsia="仿宋_GB2312" w:cs="楷体_GB2312"/>
          <w:spacing w:val="-4"/>
          <w:sz w:val="32"/>
          <w:szCs w:val="32"/>
        </w:rPr>
        <w:t>%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，自评得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5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分，复核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满意度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60</w:t>
      </w:r>
      <w:r>
        <w:rPr>
          <w:rFonts w:ascii="仿宋_GB2312" w:hAnsi="楷体_GB2312" w:eastAsia="仿宋_GB2312" w:cs="楷体_GB2312"/>
          <w:spacing w:val="-4"/>
          <w:sz w:val="32"/>
          <w:szCs w:val="32"/>
        </w:rPr>
        <w:t>%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，复核得分</w:t>
      </w:r>
      <w:r>
        <w:rPr>
          <w:rFonts w:ascii="仿宋_GB2312" w:hAnsi="楷体_GB2312" w:eastAsia="仿宋_GB2312" w:cs="楷体_GB2312"/>
          <w:spacing w:val="-4"/>
          <w:sz w:val="32"/>
          <w:szCs w:val="32"/>
        </w:rPr>
        <w:t>3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分。原因在满意度调查中，只是抽取了部分基层机构调查满意度，调查不够全面，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方式单一，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佐证材料不够充分。</w:t>
      </w:r>
    </w:p>
    <w:p>
      <w:pPr>
        <w:tabs>
          <w:tab w:val="left" w:pos="7230"/>
          <w:tab w:val="left" w:pos="7938"/>
        </w:tabs>
        <w:ind w:firstLine="640" w:firstLineChars="200"/>
        <w:jc w:val="left"/>
        <w:outlineLvl w:val="1"/>
        <w:rPr>
          <w:rFonts w:ascii="楷体_GB2312" w:hAnsi="楷体_GB2312" w:eastAsia="楷体_GB2312" w:cs="楷体_GB2312"/>
          <w:sz w:val="32"/>
          <w:szCs w:val="32"/>
        </w:rPr>
      </w:pPr>
      <w:bookmarkStart w:id="37" w:name="_Toc10063"/>
      <w:r>
        <w:rPr>
          <w:rFonts w:hint="eastAsia" w:ascii="楷体_GB2312" w:hAnsi="楷体_GB2312" w:eastAsia="楷体_GB2312" w:cs="楷体_GB2312"/>
          <w:sz w:val="32"/>
          <w:szCs w:val="32"/>
        </w:rPr>
        <w:t>（二）抽查复核发现的问题</w:t>
      </w:r>
      <w:bookmarkEnd w:id="37"/>
    </w:p>
    <w:p>
      <w:pPr>
        <w:spacing w:line="580" w:lineRule="exact"/>
        <w:ind w:firstLine="624" w:firstLineChars="200"/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个别指标佐证材料不充分，比如被调查对象满意度、基层统计机构满意度，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满意度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调查不够全面，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方式单一，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佐证材料不够充分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完成值未能得到充分佐证。</w:t>
      </w:r>
    </w:p>
    <w:p>
      <w:pPr>
        <w:spacing w:line="580" w:lineRule="exact"/>
        <w:ind w:firstLine="640" w:firstLineChars="200"/>
        <w:outlineLvl w:val="0"/>
        <w:rPr>
          <w:rFonts w:ascii="黑体" w:hAnsi="黑体" w:eastAsia="黑体" w:cs="黑体"/>
          <w:sz w:val="32"/>
          <w:szCs w:val="32"/>
        </w:rPr>
      </w:pPr>
      <w:bookmarkStart w:id="38" w:name="_Toc19466"/>
      <w:bookmarkStart w:id="39" w:name="_Toc23943"/>
      <w:bookmarkStart w:id="40" w:name="_Toc23144"/>
      <w:bookmarkStart w:id="41" w:name="_Toc10337"/>
      <w:r>
        <w:rPr>
          <w:rFonts w:hint="eastAsia" w:ascii="黑体" w:hAnsi="黑体" w:eastAsia="黑体" w:cs="黑体"/>
          <w:sz w:val="32"/>
          <w:szCs w:val="32"/>
        </w:rPr>
        <w:t>四、意见建议</w:t>
      </w:r>
      <w:bookmarkEnd w:id="38"/>
      <w:bookmarkEnd w:id="39"/>
      <w:bookmarkEnd w:id="40"/>
      <w:bookmarkEnd w:id="41"/>
    </w:p>
    <w:p>
      <w:pPr>
        <w:spacing w:line="580" w:lineRule="exact"/>
        <w:ind w:firstLine="640"/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建议进一步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提升预算编制精细化水平。在编制下一年度预算时，建议更加深入地调研各项工作的实际需求，结合历年执行情况和年度工作计划，提高预算编制的准确性和前瞻性，力争进一步提高预算执行率。</w:t>
      </w:r>
    </w:p>
    <w:p>
      <w:pPr>
        <w:spacing w:line="580" w:lineRule="exact"/>
        <w:ind w:firstLine="640"/>
        <w:rPr>
          <w:rFonts w:hint="default" w:ascii="仿宋_GB2312" w:hAnsi="楷体_GB2312" w:eastAsia="仿宋_GB2312" w:cs="楷体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调查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被调查对象、</w:t>
      </w:r>
      <w:r>
        <w:rPr>
          <w:rFonts w:hint="eastAsia" w:ascii="仿宋_GB2312" w:hAnsi="仿宋_GB2312" w:eastAsia="仿宋_GB2312" w:cs="仿宋_GB2312"/>
          <w:sz w:val="32"/>
          <w:szCs w:val="32"/>
        </w:rPr>
        <w:t>基层统计机构满意度时要提前设置好科学合理的问题，除电话、微信形式外，采取现场调研、问卷调查等多种形式进行满意度调查，扩大调查覆盖面，以期更全面准确获得真实结果。</w:t>
      </w:r>
    </w:p>
    <w:p>
      <w:pPr>
        <w:spacing w:line="580" w:lineRule="exact"/>
        <w:ind w:left="640"/>
        <w:rPr>
          <w:rFonts w:hint="eastAsia" w:ascii="仿宋_GB2312" w:hAnsi="仿宋_GB2312" w:eastAsia="仿宋_GB2312" w:cs="仿宋_GB2312"/>
          <w:spacing w:val="-11"/>
          <w:sz w:val="32"/>
          <w:szCs w:val="32"/>
        </w:rPr>
      </w:pPr>
    </w:p>
    <w:p>
      <w:pPr>
        <w:spacing w:line="580" w:lineRule="exact"/>
        <w:ind w:left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1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eastAsia="zh-CN"/>
        </w:rPr>
        <w:t>统计工作经费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</w:rPr>
        <w:t>单位自评抽查复核差异率统计表</w:t>
      </w:r>
    </w:p>
    <w:sectPr>
      <w:footerReference r:id="rId4" w:type="default"/>
      <w:pgSz w:w="11906" w:h="16838"/>
      <w:pgMar w:top="2098" w:right="1417" w:bottom="1871" w:left="1531" w:header="851" w:footer="992" w:gutter="0"/>
      <w:pgNumType w:start="1"/>
      <w:cols w:space="0" w:num="1"/>
      <w:docGrid w:type="lines" w:linePitch="3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文星简黑体">
    <w:altName w:val="黑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6200" cy="13144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8"/>
                            <w:rPr>
                              <w:rFonts w:eastAsia="仿宋_GB2312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6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Ds&#10;NinPAAAAAwEAAA8AAAAAAAAAAQAgAAAAIgAAAGRycy9kb3ducmV2LnhtbFBLAQIUABQAAAAIAIdO&#10;4kCS/sXb8wEAAMEDAAAOAAAAAAAAAAEAIAAAAB4BAABkcnMvZTJvRG9jLnhtbFBLBQYAAAAABgAG&#10;AFkBAACD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eastAsia="仿宋_GB2312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sdt>
                          <w:sdtPr>
                            <w:id w:val="2009340"/>
                          </w:sdtPr>
                          <w:sdtContent>
                            <w:p>
                              <w:pPr>
                                <w:pStyle w:val="8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3</w:t>
                              </w:r>
                              <w:r>
                                <w:rPr>
                                  <w:lang w:val="zh-C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OqXm5zwAAAAUBAAAP&#10;AAAAAAAAAAEAIAAAACIAAABkcnMvZG93bnJldi54bWxQSwECFAAUAAAACACHTuJARKK3568BAABQ&#10;AwAADgAAAAAAAAABACAAAAAeAQAAZHJzL2Uyb0RvYy54bWxQSwUGAAAAAAYABgBZAQAAP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2009340"/>
                    </w:sdtPr>
                    <w:sdtContent>
                      <w:p>
                        <w:pPr>
                          <w:pStyle w:val="8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3</w:t>
                        </w:r>
                        <w:r>
                          <w:rPr>
                            <w:lang w:val="zh-CN"/>
                          </w:rPr>
                          <w:fldChar w:fldCharType="end"/>
                        </w: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70AC4E"/>
    <w:multiLevelType w:val="singleLevel"/>
    <w:tmpl w:val="C270AC4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VerticalDrawingGridEvery w:val="2"/>
  <w:noPunctuationKerning w:val="1"/>
  <w:characterSpacingControl w:val="compressPunctuation"/>
  <w:hdrShapeDefaults>
    <o:shapelayout v:ext="edit">
      <o:idmap v:ext="edit" data="6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E0A"/>
    <w:rsid w:val="00010727"/>
    <w:rsid w:val="00014EA2"/>
    <w:rsid w:val="0003589F"/>
    <w:rsid w:val="00043DF3"/>
    <w:rsid w:val="000563D5"/>
    <w:rsid w:val="000577B9"/>
    <w:rsid w:val="000636F9"/>
    <w:rsid w:val="0006647B"/>
    <w:rsid w:val="000737AA"/>
    <w:rsid w:val="000801F1"/>
    <w:rsid w:val="0008748A"/>
    <w:rsid w:val="0009575E"/>
    <w:rsid w:val="00095B50"/>
    <w:rsid w:val="000A40EE"/>
    <w:rsid w:val="000B1D08"/>
    <w:rsid w:val="000C3C1B"/>
    <w:rsid w:val="000D3373"/>
    <w:rsid w:val="001135BA"/>
    <w:rsid w:val="001206F0"/>
    <w:rsid w:val="0012565A"/>
    <w:rsid w:val="0015068A"/>
    <w:rsid w:val="00152A35"/>
    <w:rsid w:val="00161D22"/>
    <w:rsid w:val="00174BA7"/>
    <w:rsid w:val="00176583"/>
    <w:rsid w:val="00183181"/>
    <w:rsid w:val="0018610B"/>
    <w:rsid w:val="001B2FB5"/>
    <w:rsid w:val="001B3197"/>
    <w:rsid w:val="001D1D99"/>
    <w:rsid w:val="001E3E39"/>
    <w:rsid w:val="002048EB"/>
    <w:rsid w:val="00237242"/>
    <w:rsid w:val="002468EB"/>
    <w:rsid w:val="0026070A"/>
    <w:rsid w:val="00273295"/>
    <w:rsid w:val="002813FC"/>
    <w:rsid w:val="00283E33"/>
    <w:rsid w:val="00290E2D"/>
    <w:rsid w:val="00290F07"/>
    <w:rsid w:val="002957FC"/>
    <w:rsid w:val="0029636A"/>
    <w:rsid w:val="002A1998"/>
    <w:rsid w:val="002A1C20"/>
    <w:rsid w:val="002A61F2"/>
    <w:rsid w:val="002B51FD"/>
    <w:rsid w:val="002C3530"/>
    <w:rsid w:val="002C6E0A"/>
    <w:rsid w:val="002C7185"/>
    <w:rsid w:val="002C7FB7"/>
    <w:rsid w:val="002E5A6B"/>
    <w:rsid w:val="002F2930"/>
    <w:rsid w:val="002F544F"/>
    <w:rsid w:val="00310B92"/>
    <w:rsid w:val="00313DFD"/>
    <w:rsid w:val="00324D55"/>
    <w:rsid w:val="003517B5"/>
    <w:rsid w:val="003536DF"/>
    <w:rsid w:val="00360AFD"/>
    <w:rsid w:val="00393121"/>
    <w:rsid w:val="0039481A"/>
    <w:rsid w:val="003A6426"/>
    <w:rsid w:val="003B3CC8"/>
    <w:rsid w:val="003B79A7"/>
    <w:rsid w:val="003C2355"/>
    <w:rsid w:val="003D73C3"/>
    <w:rsid w:val="003E2EFB"/>
    <w:rsid w:val="003E6275"/>
    <w:rsid w:val="003F1160"/>
    <w:rsid w:val="003F244E"/>
    <w:rsid w:val="003F3E83"/>
    <w:rsid w:val="00400287"/>
    <w:rsid w:val="00416DB7"/>
    <w:rsid w:val="0042136C"/>
    <w:rsid w:val="004227A7"/>
    <w:rsid w:val="004331AE"/>
    <w:rsid w:val="00433E27"/>
    <w:rsid w:val="00440748"/>
    <w:rsid w:val="004439C8"/>
    <w:rsid w:val="00444B55"/>
    <w:rsid w:val="00461372"/>
    <w:rsid w:val="00472B5A"/>
    <w:rsid w:val="004752CF"/>
    <w:rsid w:val="004931D3"/>
    <w:rsid w:val="004A3F52"/>
    <w:rsid w:val="004A7821"/>
    <w:rsid w:val="004B24EE"/>
    <w:rsid w:val="004B3F4D"/>
    <w:rsid w:val="004B787E"/>
    <w:rsid w:val="004C1728"/>
    <w:rsid w:val="004D59E2"/>
    <w:rsid w:val="004D64CA"/>
    <w:rsid w:val="004E0471"/>
    <w:rsid w:val="00501429"/>
    <w:rsid w:val="00502674"/>
    <w:rsid w:val="005031D7"/>
    <w:rsid w:val="00505169"/>
    <w:rsid w:val="00510185"/>
    <w:rsid w:val="00512841"/>
    <w:rsid w:val="00523A5F"/>
    <w:rsid w:val="00524F42"/>
    <w:rsid w:val="00530A97"/>
    <w:rsid w:val="0057107B"/>
    <w:rsid w:val="00571AF0"/>
    <w:rsid w:val="00571E4F"/>
    <w:rsid w:val="00573DF7"/>
    <w:rsid w:val="00581B67"/>
    <w:rsid w:val="00582EBE"/>
    <w:rsid w:val="0058412E"/>
    <w:rsid w:val="00584546"/>
    <w:rsid w:val="005A0B71"/>
    <w:rsid w:val="005A3B28"/>
    <w:rsid w:val="005B3F93"/>
    <w:rsid w:val="005C24BB"/>
    <w:rsid w:val="005C265A"/>
    <w:rsid w:val="005E02B8"/>
    <w:rsid w:val="005E24D8"/>
    <w:rsid w:val="005F5B75"/>
    <w:rsid w:val="006065EE"/>
    <w:rsid w:val="006141C7"/>
    <w:rsid w:val="006159A5"/>
    <w:rsid w:val="006172E3"/>
    <w:rsid w:val="006231C2"/>
    <w:rsid w:val="00624043"/>
    <w:rsid w:val="006319D0"/>
    <w:rsid w:val="00635C66"/>
    <w:rsid w:val="00641F0B"/>
    <w:rsid w:val="00661B5C"/>
    <w:rsid w:val="00665615"/>
    <w:rsid w:val="00670426"/>
    <w:rsid w:val="0067156B"/>
    <w:rsid w:val="00681B50"/>
    <w:rsid w:val="006A077F"/>
    <w:rsid w:val="006A15F8"/>
    <w:rsid w:val="006A55E7"/>
    <w:rsid w:val="006A759F"/>
    <w:rsid w:val="006B01FF"/>
    <w:rsid w:val="006C09BE"/>
    <w:rsid w:val="006C44BB"/>
    <w:rsid w:val="006D4355"/>
    <w:rsid w:val="006E056C"/>
    <w:rsid w:val="006E1764"/>
    <w:rsid w:val="006F1B1F"/>
    <w:rsid w:val="006F6449"/>
    <w:rsid w:val="006F760D"/>
    <w:rsid w:val="00703267"/>
    <w:rsid w:val="0070447B"/>
    <w:rsid w:val="007164AD"/>
    <w:rsid w:val="00740DAC"/>
    <w:rsid w:val="00741D32"/>
    <w:rsid w:val="00755168"/>
    <w:rsid w:val="00761E2E"/>
    <w:rsid w:val="00772A2A"/>
    <w:rsid w:val="00777A8E"/>
    <w:rsid w:val="0079762D"/>
    <w:rsid w:val="007D4A53"/>
    <w:rsid w:val="007E4C19"/>
    <w:rsid w:val="007E6ED1"/>
    <w:rsid w:val="008115C6"/>
    <w:rsid w:val="00815BD8"/>
    <w:rsid w:val="008202F9"/>
    <w:rsid w:val="0082476D"/>
    <w:rsid w:val="00832D23"/>
    <w:rsid w:val="00835275"/>
    <w:rsid w:val="0083688E"/>
    <w:rsid w:val="0084261B"/>
    <w:rsid w:val="00847DB7"/>
    <w:rsid w:val="008571BB"/>
    <w:rsid w:val="00887F03"/>
    <w:rsid w:val="008968AC"/>
    <w:rsid w:val="00896E17"/>
    <w:rsid w:val="008A2816"/>
    <w:rsid w:val="008B461D"/>
    <w:rsid w:val="008C7CEA"/>
    <w:rsid w:val="00901FD7"/>
    <w:rsid w:val="009043CE"/>
    <w:rsid w:val="00914EF7"/>
    <w:rsid w:val="00915DE2"/>
    <w:rsid w:val="00920952"/>
    <w:rsid w:val="00925C04"/>
    <w:rsid w:val="00925D9B"/>
    <w:rsid w:val="00926636"/>
    <w:rsid w:val="00926D7C"/>
    <w:rsid w:val="00937E9B"/>
    <w:rsid w:val="0094570E"/>
    <w:rsid w:val="00950A48"/>
    <w:rsid w:val="009556F6"/>
    <w:rsid w:val="0096180C"/>
    <w:rsid w:val="009700EC"/>
    <w:rsid w:val="00973A87"/>
    <w:rsid w:val="009A33C8"/>
    <w:rsid w:val="009A6A1D"/>
    <w:rsid w:val="009B3E81"/>
    <w:rsid w:val="009B5BDF"/>
    <w:rsid w:val="009C5F1E"/>
    <w:rsid w:val="009C5F7C"/>
    <w:rsid w:val="009C79CB"/>
    <w:rsid w:val="009D3EAB"/>
    <w:rsid w:val="009E7B34"/>
    <w:rsid w:val="00A031C5"/>
    <w:rsid w:val="00A14DF0"/>
    <w:rsid w:val="00A33A1A"/>
    <w:rsid w:val="00A60EC5"/>
    <w:rsid w:val="00A73369"/>
    <w:rsid w:val="00A86278"/>
    <w:rsid w:val="00A87A99"/>
    <w:rsid w:val="00A97BFE"/>
    <w:rsid w:val="00AA32F1"/>
    <w:rsid w:val="00AA3529"/>
    <w:rsid w:val="00AC2533"/>
    <w:rsid w:val="00AC26CB"/>
    <w:rsid w:val="00AE35FF"/>
    <w:rsid w:val="00AF01F5"/>
    <w:rsid w:val="00B012DD"/>
    <w:rsid w:val="00B01E8E"/>
    <w:rsid w:val="00B0369A"/>
    <w:rsid w:val="00B1546B"/>
    <w:rsid w:val="00B331B5"/>
    <w:rsid w:val="00B56938"/>
    <w:rsid w:val="00B56ED5"/>
    <w:rsid w:val="00B6277C"/>
    <w:rsid w:val="00B81185"/>
    <w:rsid w:val="00B93653"/>
    <w:rsid w:val="00B97B8B"/>
    <w:rsid w:val="00BB2C7E"/>
    <w:rsid w:val="00C03A2D"/>
    <w:rsid w:val="00C04675"/>
    <w:rsid w:val="00C138DD"/>
    <w:rsid w:val="00C2774E"/>
    <w:rsid w:val="00C30D74"/>
    <w:rsid w:val="00C40D02"/>
    <w:rsid w:val="00C421EA"/>
    <w:rsid w:val="00C47C34"/>
    <w:rsid w:val="00C5036C"/>
    <w:rsid w:val="00C51F4A"/>
    <w:rsid w:val="00C55705"/>
    <w:rsid w:val="00C56EBC"/>
    <w:rsid w:val="00C631EB"/>
    <w:rsid w:val="00C8087B"/>
    <w:rsid w:val="00C81CBF"/>
    <w:rsid w:val="00C8264A"/>
    <w:rsid w:val="00C835E7"/>
    <w:rsid w:val="00CA1EF1"/>
    <w:rsid w:val="00CA328F"/>
    <w:rsid w:val="00CA4E70"/>
    <w:rsid w:val="00CC1CCC"/>
    <w:rsid w:val="00CD4B33"/>
    <w:rsid w:val="00CE081E"/>
    <w:rsid w:val="00CE6A93"/>
    <w:rsid w:val="00D02460"/>
    <w:rsid w:val="00D11A07"/>
    <w:rsid w:val="00D2497C"/>
    <w:rsid w:val="00D25E00"/>
    <w:rsid w:val="00D32585"/>
    <w:rsid w:val="00D60637"/>
    <w:rsid w:val="00D64DF4"/>
    <w:rsid w:val="00D64EA0"/>
    <w:rsid w:val="00D7277D"/>
    <w:rsid w:val="00D77327"/>
    <w:rsid w:val="00D83B6C"/>
    <w:rsid w:val="00D84FA8"/>
    <w:rsid w:val="00D9039A"/>
    <w:rsid w:val="00D938B2"/>
    <w:rsid w:val="00D96C90"/>
    <w:rsid w:val="00DA7515"/>
    <w:rsid w:val="00DB01F4"/>
    <w:rsid w:val="00DC0538"/>
    <w:rsid w:val="00DC3116"/>
    <w:rsid w:val="00DD4B4E"/>
    <w:rsid w:val="00DE7148"/>
    <w:rsid w:val="00DE7A62"/>
    <w:rsid w:val="00E34CBE"/>
    <w:rsid w:val="00EA11FD"/>
    <w:rsid w:val="00EA49BF"/>
    <w:rsid w:val="00EA686A"/>
    <w:rsid w:val="00EB0908"/>
    <w:rsid w:val="00EB5F4C"/>
    <w:rsid w:val="00EC44FE"/>
    <w:rsid w:val="00EC49EF"/>
    <w:rsid w:val="00ED56AE"/>
    <w:rsid w:val="00EE095C"/>
    <w:rsid w:val="00EE13AC"/>
    <w:rsid w:val="00EE605D"/>
    <w:rsid w:val="00EF1837"/>
    <w:rsid w:val="00EF7A06"/>
    <w:rsid w:val="00EF7DB1"/>
    <w:rsid w:val="00F13BF8"/>
    <w:rsid w:val="00F22ACA"/>
    <w:rsid w:val="00F23ED9"/>
    <w:rsid w:val="00F25602"/>
    <w:rsid w:val="00F3134F"/>
    <w:rsid w:val="00F40FD6"/>
    <w:rsid w:val="00F63DDC"/>
    <w:rsid w:val="00F8452B"/>
    <w:rsid w:val="00FA54D2"/>
    <w:rsid w:val="00FA567D"/>
    <w:rsid w:val="00FA6648"/>
    <w:rsid w:val="00FB068F"/>
    <w:rsid w:val="00FC3354"/>
    <w:rsid w:val="00FC45AC"/>
    <w:rsid w:val="00FC7C71"/>
    <w:rsid w:val="010A65EE"/>
    <w:rsid w:val="015D6B2A"/>
    <w:rsid w:val="0267688D"/>
    <w:rsid w:val="02870911"/>
    <w:rsid w:val="03155B98"/>
    <w:rsid w:val="037A01B8"/>
    <w:rsid w:val="04B279D4"/>
    <w:rsid w:val="04DF17C6"/>
    <w:rsid w:val="0550199D"/>
    <w:rsid w:val="056C0963"/>
    <w:rsid w:val="05BD4723"/>
    <w:rsid w:val="06644A94"/>
    <w:rsid w:val="07646DE7"/>
    <w:rsid w:val="080E30EF"/>
    <w:rsid w:val="09F04623"/>
    <w:rsid w:val="0ABC43F9"/>
    <w:rsid w:val="0ADF7419"/>
    <w:rsid w:val="0B491872"/>
    <w:rsid w:val="0D764ED8"/>
    <w:rsid w:val="0D903025"/>
    <w:rsid w:val="0EA165E3"/>
    <w:rsid w:val="0EF04EC5"/>
    <w:rsid w:val="0FFC1E8A"/>
    <w:rsid w:val="10080393"/>
    <w:rsid w:val="103D1135"/>
    <w:rsid w:val="12202D6C"/>
    <w:rsid w:val="12412140"/>
    <w:rsid w:val="124327EE"/>
    <w:rsid w:val="12FD4E8E"/>
    <w:rsid w:val="13952316"/>
    <w:rsid w:val="1469418D"/>
    <w:rsid w:val="147C1B6E"/>
    <w:rsid w:val="14946D53"/>
    <w:rsid w:val="14D95941"/>
    <w:rsid w:val="15826171"/>
    <w:rsid w:val="16210154"/>
    <w:rsid w:val="178D1F65"/>
    <w:rsid w:val="1A3C42E1"/>
    <w:rsid w:val="1B354396"/>
    <w:rsid w:val="1B3D683B"/>
    <w:rsid w:val="1B625380"/>
    <w:rsid w:val="1C57189A"/>
    <w:rsid w:val="1D285695"/>
    <w:rsid w:val="1D2D74A9"/>
    <w:rsid w:val="1E5B1196"/>
    <w:rsid w:val="1F162B03"/>
    <w:rsid w:val="1FFB048E"/>
    <w:rsid w:val="21125231"/>
    <w:rsid w:val="214C265F"/>
    <w:rsid w:val="21A47D8E"/>
    <w:rsid w:val="21C8576E"/>
    <w:rsid w:val="21CB0B0B"/>
    <w:rsid w:val="22D84689"/>
    <w:rsid w:val="22E23BA3"/>
    <w:rsid w:val="232A42A8"/>
    <w:rsid w:val="237B0B06"/>
    <w:rsid w:val="23CA1FC4"/>
    <w:rsid w:val="25547F56"/>
    <w:rsid w:val="26F51708"/>
    <w:rsid w:val="27714360"/>
    <w:rsid w:val="2A9A7CB3"/>
    <w:rsid w:val="2BAA6B11"/>
    <w:rsid w:val="2D113951"/>
    <w:rsid w:val="2E281AEC"/>
    <w:rsid w:val="2F0A4535"/>
    <w:rsid w:val="2F2551EC"/>
    <w:rsid w:val="2F3822B1"/>
    <w:rsid w:val="2F610930"/>
    <w:rsid w:val="2F9E1C45"/>
    <w:rsid w:val="2FAC25A0"/>
    <w:rsid w:val="2FC50F33"/>
    <w:rsid w:val="2FF20302"/>
    <w:rsid w:val="2FF7475A"/>
    <w:rsid w:val="302745E4"/>
    <w:rsid w:val="30FC7E10"/>
    <w:rsid w:val="31560F6C"/>
    <w:rsid w:val="31F51B43"/>
    <w:rsid w:val="320209E2"/>
    <w:rsid w:val="32CC548D"/>
    <w:rsid w:val="32E97D8A"/>
    <w:rsid w:val="330F0462"/>
    <w:rsid w:val="33127246"/>
    <w:rsid w:val="332D3382"/>
    <w:rsid w:val="33F8024A"/>
    <w:rsid w:val="35247266"/>
    <w:rsid w:val="365D2844"/>
    <w:rsid w:val="38197B9E"/>
    <w:rsid w:val="38B42E51"/>
    <w:rsid w:val="39082401"/>
    <w:rsid w:val="39CD7C90"/>
    <w:rsid w:val="39CF53D1"/>
    <w:rsid w:val="3A9F22C2"/>
    <w:rsid w:val="3AAF0167"/>
    <w:rsid w:val="3AE34A17"/>
    <w:rsid w:val="3BAE1B1B"/>
    <w:rsid w:val="3CBE2CE1"/>
    <w:rsid w:val="3D9F63B3"/>
    <w:rsid w:val="3E4B5DA1"/>
    <w:rsid w:val="3E7B7458"/>
    <w:rsid w:val="3EB428C3"/>
    <w:rsid w:val="3EF65C0B"/>
    <w:rsid w:val="3F272BF3"/>
    <w:rsid w:val="3F5FC4BB"/>
    <w:rsid w:val="3F735962"/>
    <w:rsid w:val="3FE95C21"/>
    <w:rsid w:val="40026FFD"/>
    <w:rsid w:val="41000C7A"/>
    <w:rsid w:val="41E1394C"/>
    <w:rsid w:val="420425F2"/>
    <w:rsid w:val="421524D4"/>
    <w:rsid w:val="422C35B8"/>
    <w:rsid w:val="427B0CF1"/>
    <w:rsid w:val="431F553A"/>
    <w:rsid w:val="43CC61A6"/>
    <w:rsid w:val="4409111F"/>
    <w:rsid w:val="473D413F"/>
    <w:rsid w:val="475844C0"/>
    <w:rsid w:val="47A23DCF"/>
    <w:rsid w:val="47D223C0"/>
    <w:rsid w:val="48C844AD"/>
    <w:rsid w:val="48CC0F4C"/>
    <w:rsid w:val="492D5DC1"/>
    <w:rsid w:val="4A061863"/>
    <w:rsid w:val="4AE85167"/>
    <w:rsid w:val="4B4810C0"/>
    <w:rsid w:val="4BBA3DCF"/>
    <w:rsid w:val="4BD45F6D"/>
    <w:rsid w:val="4C8E53B2"/>
    <w:rsid w:val="4D611793"/>
    <w:rsid w:val="4E060B7F"/>
    <w:rsid w:val="4ED202BE"/>
    <w:rsid w:val="4F6B0D1B"/>
    <w:rsid w:val="4FAA647E"/>
    <w:rsid w:val="4FE03DC4"/>
    <w:rsid w:val="51046304"/>
    <w:rsid w:val="51DE085F"/>
    <w:rsid w:val="521F6CFF"/>
    <w:rsid w:val="529C5C4F"/>
    <w:rsid w:val="54C62619"/>
    <w:rsid w:val="56687704"/>
    <w:rsid w:val="5712282D"/>
    <w:rsid w:val="59D800F7"/>
    <w:rsid w:val="59F21B57"/>
    <w:rsid w:val="59FFA87E"/>
    <w:rsid w:val="5A745763"/>
    <w:rsid w:val="5AD9207B"/>
    <w:rsid w:val="5B8D6070"/>
    <w:rsid w:val="5CEB1CAA"/>
    <w:rsid w:val="5D640436"/>
    <w:rsid w:val="5D782258"/>
    <w:rsid w:val="5E143576"/>
    <w:rsid w:val="5F3C14CE"/>
    <w:rsid w:val="5F9B20D6"/>
    <w:rsid w:val="5FBB6B27"/>
    <w:rsid w:val="5FC41423"/>
    <w:rsid w:val="5FF71689"/>
    <w:rsid w:val="613B6954"/>
    <w:rsid w:val="61D6427A"/>
    <w:rsid w:val="61F3446A"/>
    <w:rsid w:val="627827B6"/>
    <w:rsid w:val="628B6808"/>
    <w:rsid w:val="63E07A4B"/>
    <w:rsid w:val="64596B4E"/>
    <w:rsid w:val="66500518"/>
    <w:rsid w:val="66612F82"/>
    <w:rsid w:val="668805B0"/>
    <w:rsid w:val="66F414C0"/>
    <w:rsid w:val="677F7C97"/>
    <w:rsid w:val="686178C3"/>
    <w:rsid w:val="69575426"/>
    <w:rsid w:val="699E327A"/>
    <w:rsid w:val="69D321B0"/>
    <w:rsid w:val="69E7297B"/>
    <w:rsid w:val="6A2302A6"/>
    <w:rsid w:val="6B492EB8"/>
    <w:rsid w:val="6B5D2645"/>
    <w:rsid w:val="6C147D85"/>
    <w:rsid w:val="6DC203D1"/>
    <w:rsid w:val="6EB446F7"/>
    <w:rsid w:val="6EF94790"/>
    <w:rsid w:val="6F2621DB"/>
    <w:rsid w:val="70F765A9"/>
    <w:rsid w:val="710C31C0"/>
    <w:rsid w:val="729448F9"/>
    <w:rsid w:val="72E83AAB"/>
    <w:rsid w:val="73A47383"/>
    <w:rsid w:val="74370D0F"/>
    <w:rsid w:val="74606462"/>
    <w:rsid w:val="74AD7722"/>
    <w:rsid w:val="75060144"/>
    <w:rsid w:val="75F07DF0"/>
    <w:rsid w:val="766D60F1"/>
    <w:rsid w:val="77771CF3"/>
    <w:rsid w:val="78780E3A"/>
    <w:rsid w:val="798D6117"/>
    <w:rsid w:val="79A71A1B"/>
    <w:rsid w:val="7A9B7953"/>
    <w:rsid w:val="7AE13552"/>
    <w:rsid w:val="7B574551"/>
    <w:rsid w:val="7E7F12A1"/>
    <w:rsid w:val="7F3C317E"/>
    <w:rsid w:val="7FAB6AA8"/>
    <w:rsid w:val="7FAF32BE"/>
    <w:rsid w:val="7FFA1303"/>
    <w:rsid w:val="F5FF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23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4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21"/>
    <w:qFormat/>
    <w:uiPriority w:val="0"/>
    <w:rPr>
      <w:rFonts w:ascii="宋体" w:eastAsia="宋体"/>
      <w:sz w:val="18"/>
      <w:szCs w:val="18"/>
    </w:rPr>
  </w:style>
  <w:style w:type="paragraph" w:styleId="6">
    <w:name w:val="Date"/>
    <w:basedOn w:val="1"/>
    <w:next w:val="1"/>
    <w:link w:val="20"/>
    <w:qFormat/>
    <w:uiPriority w:val="0"/>
    <w:pPr>
      <w:ind w:left="100" w:leftChars="2500"/>
    </w:pPr>
  </w:style>
  <w:style w:type="paragraph" w:styleId="7">
    <w:name w:val="Balloon Text"/>
    <w:basedOn w:val="1"/>
    <w:link w:val="22"/>
    <w:qFormat/>
    <w:uiPriority w:val="0"/>
    <w:rPr>
      <w:sz w:val="18"/>
      <w:szCs w:val="18"/>
    </w:rPr>
  </w:style>
  <w:style w:type="paragraph" w:styleId="8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qFormat/>
    <w:uiPriority w:val="39"/>
    <w:pPr>
      <w:snapToGrid w:val="0"/>
      <w:spacing w:line="640" w:lineRule="exact"/>
      <w:ind w:firstLine="705"/>
    </w:pPr>
    <w:rPr>
      <w:rFonts w:ascii="仿宋_GB2312" w:hAnsi="Calibri" w:eastAsia="仿宋_GB2312" w:cs="Times New Roman"/>
      <w:color w:val="000000"/>
      <w:sz w:val="36"/>
      <w:szCs w:val="36"/>
    </w:rPr>
  </w:style>
  <w:style w:type="paragraph" w:styleId="11">
    <w:name w:val="toc 2"/>
    <w:basedOn w:val="1"/>
    <w:next w:val="1"/>
    <w:qFormat/>
    <w:uiPriority w:val="39"/>
    <w:pPr>
      <w:ind w:left="420" w:leftChars="200"/>
    </w:pPr>
    <w:rPr>
      <w:rFonts w:ascii="Times New Roman" w:hAnsi="Times New Roman" w:eastAsia="仿宋_GB2312" w:cs="Times New Roman"/>
      <w:sz w:val="30"/>
    </w:rPr>
  </w:style>
  <w:style w:type="table" w:styleId="13">
    <w:name w:val="Table Grid"/>
    <w:basedOn w:val="1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Strong"/>
    <w:basedOn w:val="14"/>
    <w:qFormat/>
    <w:uiPriority w:val="0"/>
    <w:rPr>
      <w:b/>
    </w:rPr>
  </w:style>
  <w:style w:type="character" w:styleId="16">
    <w:name w:val="Hyperlink"/>
    <w:qFormat/>
    <w:uiPriority w:val="99"/>
    <w:rPr>
      <w:color w:val="333333"/>
      <w:u w:val="none"/>
    </w:rPr>
  </w:style>
  <w:style w:type="paragraph" w:customStyle="1" w:styleId="17">
    <w:name w:val="列出段落1"/>
    <w:basedOn w:val="1"/>
    <w:unhideWhenUsed/>
    <w:qFormat/>
    <w:uiPriority w:val="34"/>
    <w:pPr>
      <w:ind w:firstLine="420" w:firstLineChars="200"/>
    </w:pPr>
  </w:style>
  <w:style w:type="character" w:customStyle="1" w:styleId="18">
    <w:name w:val="页眉 Char"/>
    <w:basedOn w:val="14"/>
    <w:link w:val="9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9">
    <w:name w:val="页脚 Char"/>
    <w:basedOn w:val="14"/>
    <w:link w:val="8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0">
    <w:name w:val="日期 Char"/>
    <w:basedOn w:val="14"/>
    <w:link w:val="6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21">
    <w:name w:val="文档结构图 Char"/>
    <w:basedOn w:val="14"/>
    <w:link w:val="5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22">
    <w:name w:val="批注框文本 Char"/>
    <w:basedOn w:val="14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3">
    <w:name w:val="标题 2 Char"/>
    <w:basedOn w:val="14"/>
    <w:link w:val="3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4">
    <w:name w:val="标题 3 Char"/>
    <w:basedOn w:val="14"/>
    <w:link w:val="4"/>
    <w:semiHidden/>
    <w:qFormat/>
    <w:uiPriority w:val="0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paragraph" w:customStyle="1" w:styleId="25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57</Words>
  <Characters>63</Characters>
  <Lines>5</Lines>
  <Paragraphs>3</Paragraphs>
  <TotalTime>0</TotalTime>
  <ScaleCrop>false</ScaleCrop>
  <LinksUpToDate>false</LinksUpToDate>
  <CharactersWithSpaces>63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2023-06-16T03:24:00Z</dcterms:created>
  <dc:creator>user</dc:creator>
  <cp:lastModifiedBy>王</cp:lastModifiedBy>
  <cp:lastPrinted>2021-10-08T02:21:00Z</cp:lastPrinted>
  <dcterms:modified xsi:type="dcterms:W3CDTF">2026-06-25T02:25:11Z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  <property fmtid="{D5CDD505-2E9C-101B-9397-08002B2CF9AE}" pid="3" name="ICV">
    <vt:lpwstr>808957B0A74441C98C52683FEBCF55F3_13</vt:lpwstr>
  </property>
  <property fmtid="{D5CDD505-2E9C-101B-9397-08002B2CF9AE}" pid="4" name="KSOTemplateDocerSaveRecord">
    <vt:lpwstr>eyJoZGlkIjoiZGVkYjhjMmM1NzgzYjM1NzUwZTE5MzAxZDdhNTE1MjYiLCJ1c2VySWQiOiI1MzgwNzM3NTEifQ==</vt:lpwstr>
  </property>
</Properties>
</file>