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6CF" w:rsidRDefault="004A2AE1">
      <w:pPr>
        <w:spacing w:line="590" w:lineRule="exact"/>
        <w:rPr>
          <w:rFonts w:ascii="黑体" w:eastAsia="黑体" w:hAnsi="黑体" w:cs="Times New Roman"/>
          <w:spacing w:val="-4"/>
          <w:sz w:val="32"/>
          <w:szCs w:val="32"/>
        </w:rPr>
      </w:pPr>
      <w:r>
        <w:rPr>
          <w:rFonts w:ascii="黑体" w:eastAsia="黑体" w:hAnsi="黑体" w:cs="Times New Roman" w:hint="eastAsia"/>
          <w:spacing w:val="-4"/>
          <w:sz w:val="32"/>
          <w:szCs w:val="32"/>
        </w:rPr>
        <w:t>附件</w:t>
      </w:r>
      <w:r>
        <w:rPr>
          <w:rFonts w:ascii="黑体" w:eastAsia="黑体" w:hAnsi="黑体" w:cs="Times New Roman" w:hint="eastAsia"/>
          <w:spacing w:val="-4"/>
          <w:sz w:val="32"/>
          <w:szCs w:val="32"/>
        </w:rPr>
        <w:t>3</w:t>
      </w:r>
    </w:p>
    <w:p w:rsidR="00E156CF" w:rsidRDefault="00E156CF">
      <w:pPr>
        <w:spacing w:line="520" w:lineRule="exact"/>
        <w:ind w:left="880" w:hanging="880"/>
        <w:jc w:val="center"/>
        <w:rPr>
          <w:rFonts w:ascii="方正小标宋简体" w:eastAsia="方正小标宋简体" w:hAnsi="方正小标宋简体" w:cs="方正小标宋简体"/>
          <w:bCs/>
          <w:sz w:val="44"/>
          <w:szCs w:val="44"/>
        </w:rPr>
      </w:pPr>
    </w:p>
    <w:p w:rsidR="00E156CF" w:rsidRDefault="00E156CF">
      <w:pPr>
        <w:spacing w:line="520" w:lineRule="exact"/>
        <w:ind w:left="880" w:hanging="880"/>
        <w:jc w:val="center"/>
        <w:rPr>
          <w:rFonts w:ascii="方正小标宋简体" w:eastAsia="方正小标宋简体" w:hAnsi="方正小标宋简体" w:cs="方正小标宋简体"/>
          <w:bCs/>
          <w:sz w:val="44"/>
          <w:szCs w:val="44"/>
        </w:rPr>
      </w:pPr>
    </w:p>
    <w:p w:rsidR="00E156CF" w:rsidRDefault="004A2AE1">
      <w:pPr>
        <w:spacing w:line="520" w:lineRule="exact"/>
        <w:ind w:left="880" w:hanging="880"/>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2023</w:t>
      </w:r>
      <w:r>
        <w:rPr>
          <w:rFonts w:ascii="方正小标宋简体" w:eastAsia="方正小标宋简体" w:hAnsi="方正小标宋简体" w:cs="方正小标宋简体" w:hint="eastAsia"/>
          <w:bCs/>
          <w:sz w:val="44"/>
          <w:szCs w:val="44"/>
        </w:rPr>
        <w:t>年度绩效评价中介费资金绩效自评</w:t>
      </w:r>
    </w:p>
    <w:p w:rsidR="00E156CF" w:rsidRDefault="004A2AE1">
      <w:pPr>
        <w:spacing w:line="520" w:lineRule="exact"/>
        <w:ind w:left="880" w:hanging="880"/>
        <w:jc w:val="center"/>
        <w:rPr>
          <w:rFonts w:ascii="方正小标宋_GBK" w:eastAsia="方正小标宋_GBK" w:cs="文星简黑体"/>
          <w:sz w:val="44"/>
          <w:szCs w:val="44"/>
        </w:rPr>
      </w:pPr>
      <w:r>
        <w:rPr>
          <w:rFonts w:ascii="方正小标宋简体" w:eastAsia="方正小标宋简体" w:hAnsi="方正小标宋简体" w:cs="方正小标宋简体" w:hint="eastAsia"/>
          <w:bCs/>
          <w:sz w:val="44"/>
          <w:szCs w:val="44"/>
        </w:rPr>
        <w:t>抽查复核报告</w:t>
      </w:r>
    </w:p>
    <w:p w:rsidR="00E156CF" w:rsidRDefault="00E156CF">
      <w:pPr>
        <w:spacing w:line="520" w:lineRule="exact"/>
        <w:ind w:left="1040" w:hanging="1040"/>
        <w:jc w:val="right"/>
        <w:rPr>
          <w:rFonts w:ascii="文星简黑体" w:eastAsia="文星简黑体"/>
          <w:sz w:val="52"/>
          <w:szCs w:val="52"/>
        </w:rPr>
      </w:pPr>
    </w:p>
    <w:p w:rsidR="00E156CF" w:rsidRDefault="00E156CF">
      <w:pPr>
        <w:spacing w:line="520" w:lineRule="exact"/>
        <w:ind w:left="1040" w:hanging="1040"/>
        <w:jc w:val="center"/>
        <w:rPr>
          <w:rFonts w:ascii="文星简黑体" w:eastAsia="文星简黑体"/>
          <w:sz w:val="52"/>
          <w:szCs w:val="52"/>
        </w:rPr>
      </w:pPr>
    </w:p>
    <w:p w:rsidR="00E156CF" w:rsidRDefault="00E156CF">
      <w:pPr>
        <w:pStyle w:val="11"/>
      </w:pPr>
    </w:p>
    <w:p w:rsidR="00E156CF" w:rsidRDefault="00E156CF">
      <w:pPr>
        <w:pStyle w:val="11"/>
      </w:pPr>
    </w:p>
    <w:p w:rsidR="00E156CF" w:rsidRDefault="00E156CF">
      <w:pPr>
        <w:pStyle w:val="11"/>
      </w:pPr>
    </w:p>
    <w:p w:rsidR="00E156CF" w:rsidRDefault="00E156CF">
      <w:pPr>
        <w:pStyle w:val="11"/>
      </w:pPr>
    </w:p>
    <w:p w:rsidR="00E156CF" w:rsidRDefault="00E156CF">
      <w:pPr>
        <w:pStyle w:val="11"/>
      </w:pPr>
    </w:p>
    <w:p w:rsidR="00E156CF" w:rsidRDefault="00E156CF">
      <w:pPr>
        <w:pStyle w:val="11"/>
      </w:pPr>
    </w:p>
    <w:p w:rsidR="00E156CF" w:rsidRDefault="00E156CF">
      <w:pPr>
        <w:pStyle w:val="11"/>
        <w:ind w:firstLine="1040"/>
        <w:rPr>
          <w:rFonts w:ascii="文星简黑体" w:eastAsia="文星简黑体"/>
          <w:sz w:val="52"/>
          <w:szCs w:val="52"/>
        </w:rPr>
      </w:pPr>
    </w:p>
    <w:p w:rsidR="00E156CF" w:rsidRDefault="00E156CF">
      <w:pPr>
        <w:pStyle w:val="11"/>
        <w:ind w:firstLine="1040"/>
        <w:rPr>
          <w:rFonts w:ascii="文星简黑体" w:eastAsia="文星简黑体"/>
          <w:sz w:val="52"/>
          <w:szCs w:val="52"/>
        </w:rPr>
      </w:pPr>
    </w:p>
    <w:p w:rsidR="00E156CF" w:rsidRDefault="00E156CF">
      <w:pPr>
        <w:pStyle w:val="11"/>
        <w:ind w:firstLine="1040"/>
        <w:rPr>
          <w:rFonts w:ascii="文星简黑体" w:eastAsia="文星简黑体"/>
          <w:sz w:val="52"/>
          <w:szCs w:val="52"/>
        </w:rPr>
      </w:pPr>
    </w:p>
    <w:p w:rsidR="00E156CF" w:rsidRDefault="00E156CF">
      <w:pPr>
        <w:pStyle w:val="11"/>
        <w:ind w:firstLine="1040"/>
        <w:rPr>
          <w:rFonts w:ascii="文星简黑体" w:eastAsia="文星简黑体"/>
          <w:sz w:val="52"/>
          <w:szCs w:val="52"/>
        </w:rPr>
      </w:pPr>
    </w:p>
    <w:p w:rsidR="00E156CF" w:rsidRDefault="00E156CF">
      <w:pPr>
        <w:spacing w:line="520" w:lineRule="exact"/>
        <w:ind w:left="1040" w:hanging="1040"/>
        <w:jc w:val="center"/>
        <w:rPr>
          <w:rFonts w:ascii="文星简黑体" w:eastAsia="文星简黑体"/>
          <w:sz w:val="52"/>
          <w:szCs w:val="52"/>
        </w:rPr>
      </w:pPr>
    </w:p>
    <w:p w:rsidR="00E156CF" w:rsidRDefault="004A2AE1">
      <w:pPr>
        <w:spacing w:before="120" w:after="120" w:line="520" w:lineRule="exact"/>
        <w:ind w:left="640" w:hanging="640"/>
        <w:rPr>
          <w:rFonts w:ascii="黑体" w:eastAsia="黑体" w:hAnsi="黑体"/>
          <w:sz w:val="32"/>
          <w:szCs w:val="32"/>
        </w:rPr>
      </w:pPr>
      <w:r>
        <w:rPr>
          <w:rFonts w:ascii="黑体" w:eastAsia="黑体" w:hAnsi="黑体" w:cs="文星简黑体" w:hint="eastAsia"/>
          <w:spacing w:val="53"/>
          <w:kern w:val="0"/>
          <w:sz w:val="32"/>
          <w:szCs w:val="32"/>
        </w:rPr>
        <w:t>委托单</w:t>
      </w:r>
      <w:r>
        <w:rPr>
          <w:rFonts w:ascii="黑体" w:eastAsia="黑体" w:hAnsi="黑体" w:cs="文星简黑体" w:hint="eastAsia"/>
          <w:spacing w:val="1"/>
          <w:kern w:val="0"/>
          <w:sz w:val="32"/>
          <w:szCs w:val="32"/>
        </w:rPr>
        <w:t>位</w:t>
      </w:r>
      <w:r>
        <w:rPr>
          <w:rFonts w:ascii="黑体" w:eastAsia="黑体" w:hAnsi="黑体" w:cs="文星简黑体" w:hint="eastAsia"/>
          <w:sz w:val="32"/>
          <w:szCs w:val="32"/>
        </w:rPr>
        <w:t>：青岛西海岸新区财政局</w:t>
      </w:r>
    </w:p>
    <w:p w:rsidR="00E156CF" w:rsidRDefault="004A2AE1">
      <w:pPr>
        <w:spacing w:before="120" w:after="120" w:line="520" w:lineRule="exact"/>
        <w:ind w:left="2240" w:hangingChars="700" w:hanging="2240"/>
        <w:rPr>
          <w:rFonts w:ascii="黑体" w:eastAsia="黑体" w:hAnsi="黑体"/>
          <w:sz w:val="32"/>
          <w:szCs w:val="32"/>
        </w:rPr>
      </w:pPr>
      <w:r>
        <w:rPr>
          <w:rFonts w:ascii="黑体" w:eastAsia="黑体" w:hAnsi="黑体" w:cs="文星简黑体" w:hint="eastAsia"/>
          <w:sz w:val="32"/>
          <w:szCs w:val="32"/>
        </w:rPr>
        <w:t>被评价单位：青岛市黄岛区财政局</w:t>
      </w:r>
    </w:p>
    <w:p w:rsidR="00E156CF" w:rsidRDefault="004A2AE1">
      <w:pPr>
        <w:spacing w:before="120" w:after="120" w:line="520" w:lineRule="exact"/>
        <w:ind w:left="640" w:hanging="640"/>
        <w:rPr>
          <w:rFonts w:ascii="黑体" w:eastAsia="黑体" w:hAnsi="黑体"/>
          <w:sz w:val="32"/>
          <w:szCs w:val="32"/>
        </w:rPr>
      </w:pPr>
      <w:r>
        <w:rPr>
          <w:rFonts w:ascii="黑体" w:eastAsia="黑体" w:hAnsi="黑体" w:cs="文星简黑体" w:hint="eastAsia"/>
          <w:spacing w:val="53"/>
          <w:kern w:val="0"/>
          <w:sz w:val="32"/>
          <w:szCs w:val="32"/>
        </w:rPr>
        <w:t>评价机</w:t>
      </w:r>
      <w:r>
        <w:rPr>
          <w:rFonts w:ascii="黑体" w:eastAsia="黑体" w:hAnsi="黑体" w:cs="文星简黑体" w:hint="eastAsia"/>
          <w:spacing w:val="1"/>
          <w:kern w:val="0"/>
          <w:sz w:val="32"/>
          <w:szCs w:val="32"/>
        </w:rPr>
        <w:t>构</w:t>
      </w:r>
      <w:r>
        <w:rPr>
          <w:rFonts w:ascii="黑体" w:eastAsia="黑体" w:hAnsi="黑体" w:cs="文星简黑体" w:hint="eastAsia"/>
          <w:sz w:val="32"/>
          <w:szCs w:val="32"/>
        </w:rPr>
        <w:t>：青岛西海岸新区财政局</w:t>
      </w:r>
    </w:p>
    <w:p w:rsidR="00E156CF" w:rsidRDefault="00E156CF">
      <w:pPr>
        <w:spacing w:before="120" w:after="120"/>
        <w:jc w:val="center"/>
        <w:rPr>
          <w:rFonts w:ascii="黑体" w:eastAsia="黑体" w:hAnsi="黑体" w:cs="文星简黑体"/>
          <w:sz w:val="32"/>
          <w:szCs w:val="32"/>
        </w:rPr>
      </w:pPr>
    </w:p>
    <w:p w:rsidR="00E156CF" w:rsidRDefault="004A2AE1">
      <w:pPr>
        <w:spacing w:before="120" w:after="120"/>
        <w:jc w:val="center"/>
        <w:rPr>
          <w:rFonts w:ascii="黑体" w:eastAsia="黑体" w:hAnsi="黑体" w:cs="文星简黑体"/>
          <w:sz w:val="32"/>
          <w:szCs w:val="32"/>
        </w:rPr>
      </w:pPr>
      <w:r>
        <w:rPr>
          <w:rFonts w:ascii="黑体" w:eastAsia="黑体" w:hAnsi="黑体" w:cs="文星简黑体" w:hint="eastAsia"/>
          <w:sz w:val="32"/>
          <w:szCs w:val="32"/>
        </w:rPr>
        <w:t>2024</w:t>
      </w:r>
      <w:r>
        <w:rPr>
          <w:rFonts w:ascii="黑体" w:eastAsia="黑体" w:hAnsi="黑体" w:cs="文星简黑体" w:hint="eastAsia"/>
          <w:sz w:val="32"/>
          <w:szCs w:val="32"/>
        </w:rPr>
        <w:t>年</w:t>
      </w:r>
      <w:r>
        <w:rPr>
          <w:rFonts w:ascii="黑体" w:eastAsia="黑体" w:hAnsi="黑体" w:cs="文星简黑体" w:hint="eastAsia"/>
          <w:sz w:val="32"/>
          <w:szCs w:val="32"/>
        </w:rPr>
        <w:t>6</w:t>
      </w:r>
      <w:bookmarkStart w:id="0" w:name="_GoBack"/>
      <w:bookmarkEnd w:id="0"/>
      <w:r>
        <w:rPr>
          <w:rFonts w:ascii="黑体" w:eastAsia="黑体" w:hAnsi="黑体" w:cs="文星简黑体" w:hint="eastAsia"/>
          <w:sz w:val="32"/>
          <w:szCs w:val="32"/>
        </w:rPr>
        <w:t>月</w:t>
      </w:r>
    </w:p>
    <w:p w:rsidR="00E156CF" w:rsidRDefault="00E156CF">
      <w:pPr>
        <w:adjustRightInd w:val="0"/>
        <w:snapToGrid w:val="0"/>
        <w:spacing w:line="360" w:lineRule="auto"/>
        <w:jc w:val="center"/>
        <w:rPr>
          <w:rFonts w:ascii="黑体" w:eastAsia="黑体" w:hAnsi="黑体" w:cs="黑体"/>
          <w:sz w:val="32"/>
          <w:szCs w:val="32"/>
        </w:rPr>
      </w:pPr>
    </w:p>
    <w:p w:rsidR="00E156CF" w:rsidRDefault="00E156CF">
      <w:pPr>
        <w:adjustRightInd w:val="0"/>
        <w:snapToGrid w:val="0"/>
        <w:spacing w:line="360" w:lineRule="auto"/>
        <w:ind w:left="880" w:hanging="880"/>
        <w:jc w:val="center"/>
        <w:rPr>
          <w:rFonts w:ascii="方正小标宋简体" w:eastAsia="方正小标宋简体" w:hAnsi="方正小标宋简体" w:cs="方正小标宋简体"/>
          <w:bCs/>
          <w:sz w:val="44"/>
          <w:szCs w:val="44"/>
        </w:rPr>
      </w:pPr>
    </w:p>
    <w:p w:rsidR="00E156CF" w:rsidRDefault="004A2AE1">
      <w:pPr>
        <w:adjustRightInd w:val="0"/>
        <w:snapToGrid w:val="0"/>
        <w:spacing w:line="360" w:lineRule="auto"/>
        <w:ind w:left="880" w:hanging="880"/>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目</w:t>
      </w:r>
      <w:r>
        <w:rPr>
          <w:rFonts w:ascii="方正小标宋简体" w:eastAsia="方正小标宋简体" w:hAnsi="方正小标宋简体" w:cs="方正小标宋简体" w:hint="eastAsia"/>
          <w:bCs/>
          <w:sz w:val="44"/>
          <w:szCs w:val="44"/>
        </w:rPr>
        <w:t xml:space="preserve">  </w:t>
      </w:r>
      <w:r>
        <w:rPr>
          <w:rFonts w:ascii="方正小标宋简体" w:eastAsia="方正小标宋简体" w:hAnsi="方正小标宋简体" w:cs="方正小标宋简体" w:hint="eastAsia"/>
          <w:bCs/>
          <w:sz w:val="44"/>
          <w:szCs w:val="44"/>
        </w:rPr>
        <w:t>录</w:t>
      </w:r>
    </w:p>
    <w:p w:rsidR="00E156CF" w:rsidRDefault="00E156CF">
      <w:pPr>
        <w:pStyle w:val="10"/>
        <w:tabs>
          <w:tab w:val="right" w:leader="dot" w:pos="8306"/>
        </w:tabs>
        <w:adjustRightInd w:val="0"/>
        <w:spacing w:line="360" w:lineRule="auto"/>
        <w:rPr>
          <w:sz w:val="32"/>
          <w:szCs w:val="32"/>
        </w:rPr>
      </w:pPr>
      <w:r w:rsidRPr="00E156CF">
        <w:rPr>
          <w:rFonts w:ascii="Times New Roman" w:eastAsia="宋体" w:hAnsi="Times New Roman"/>
          <w:sz w:val="32"/>
          <w:szCs w:val="32"/>
        </w:rPr>
        <w:fldChar w:fldCharType="begin"/>
      </w:r>
      <w:r w:rsidR="004A2AE1">
        <w:rPr>
          <w:rFonts w:ascii="Times New Roman" w:eastAsia="宋体" w:hAnsi="Times New Roman"/>
          <w:sz w:val="32"/>
          <w:szCs w:val="32"/>
        </w:rPr>
        <w:instrText xml:space="preserve">TOC \o "1-3" \h \u </w:instrText>
      </w:r>
      <w:r w:rsidRPr="00E156CF">
        <w:rPr>
          <w:rFonts w:ascii="Times New Roman" w:eastAsia="宋体" w:hAnsi="Times New Roman"/>
          <w:sz w:val="32"/>
          <w:szCs w:val="32"/>
        </w:rPr>
        <w:fldChar w:fldCharType="separate"/>
      </w:r>
      <w:hyperlink w:anchor="_Toc20850" w:history="1">
        <w:r w:rsidR="004A2AE1">
          <w:rPr>
            <w:rFonts w:ascii="黑体" w:eastAsia="黑体" w:hAnsi="黑体" w:cs="黑体" w:hint="eastAsia"/>
            <w:sz w:val="32"/>
            <w:szCs w:val="32"/>
          </w:rPr>
          <w:t>一、组织情况</w:t>
        </w:r>
        <w:r w:rsidR="004A2AE1">
          <w:rPr>
            <w:sz w:val="32"/>
            <w:szCs w:val="32"/>
          </w:rPr>
          <w:tab/>
        </w:r>
        <w:r>
          <w:rPr>
            <w:sz w:val="32"/>
            <w:szCs w:val="32"/>
          </w:rPr>
          <w:fldChar w:fldCharType="begin"/>
        </w:r>
        <w:r w:rsidR="004A2AE1">
          <w:rPr>
            <w:sz w:val="32"/>
            <w:szCs w:val="32"/>
          </w:rPr>
          <w:instrText xml:space="preserve"> PAGEREF _Toc20850 \h </w:instrText>
        </w:r>
        <w:r>
          <w:rPr>
            <w:sz w:val="32"/>
            <w:szCs w:val="32"/>
          </w:rPr>
        </w:r>
        <w:r>
          <w:rPr>
            <w:sz w:val="32"/>
            <w:szCs w:val="32"/>
          </w:rPr>
          <w:fldChar w:fldCharType="separate"/>
        </w:r>
        <w:r w:rsidR="004A2AE1">
          <w:rPr>
            <w:sz w:val="32"/>
            <w:szCs w:val="32"/>
          </w:rPr>
          <w:t>1</w:t>
        </w:r>
        <w:r>
          <w:rPr>
            <w:sz w:val="32"/>
            <w:szCs w:val="32"/>
          </w:rPr>
          <w:fldChar w:fldCharType="end"/>
        </w:r>
      </w:hyperlink>
    </w:p>
    <w:p w:rsidR="00E156CF" w:rsidRDefault="00E156CF">
      <w:pPr>
        <w:pStyle w:val="20"/>
        <w:tabs>
          <w:tab w:val="right" w:leader="dot" w:pos="8306"/>
        </w:tabs>
        <w:adjustRightInd w:val="0"/>
        <w:snapToGrid w:val="0"/>
        <w:spacing w:line="360" w:lineRule="auto"/>
        <w:ind w:firstLineChars="100" w:firstLine="300"/>
        <w:rPr>
          <w:sz w:val="32"/>
          <w:szCs w:val="32"/>
        </w:rPr>
      </w:pPr>
      <w:hyperlink w:anchor="_Toc23777" w:history="1">
        <w:r w:rsidR="004A2AE1">
          <w:rPr>
            <w:rFonts w:ascii="Cambria" w:eastAsia="楷体" w:hAnsi="Cambria" w:hint="eastAsia"/>
            <w:kern w:val="0"/>
            <w:sz w:val="32"/>
            <w:szCs w:val="32"/>
          </w:rPr>
          <w:t>（一）抽查复核目的和对象</w:t>
        </w:r>
        <w:r w:rsidR="004A2AE1">
          <w:rPr>
            <w:sz w:val="32"/>
            <w:szCs w:val="32"/>
          </w:rPr>
          <w:tab/>
        </w:r>
        <w:r>
          <w:rPr>
            <w:rFonts w:ascii="仿宋_GB2312" w:hAnsi="Calibri"/>
            <w:color w:val="000000"/>
            <w:sz w:val="32"/>
            <w:szCs w:val="32"/>
          </w:rPr>
          <w:fldChar w:fldCharType="begin"/>
        </w:r>
        <w:r w:rsidR="004A2AE1">
          <w:rPr>
            <w:rFonts w:ascii="仿宋_GB2312" w:hAnsi="Calibri"/>
            <w:color w:val="000000"/>
            <w:sz w:val="32"/>
            <w:szCs w:val="32"/>
          </w:rPr>
          <w:instrText xml:space="preserve"> PAGEREF _Toc23777 \h </w:instrText>
        </w:r>
        <w:r>
          <w:rPr>
            <w:rFonts w:ascii="仿宋_GB2312" w:hAnsi="Calibri"/>
            <w:color w:val="000000"/>
            <w:sz w:val="32"/>
            <w:szCs w:val="32"/>
          </w:rPr>
        </w:r>
        <w:r>
          <w:rPr>
            <w:rFonts w:ascii="仿宋_GB2312" w:hAnsi="Calibri"/>
            <w:color w:val="000000"/>
            <w:sz w:val="32"/>
            <w:szCs w:val="32"/>
          </w:rPr>
          <w:fldChar w:fldCharType="separate"/>
        </w:r>
        <w:r w:rsidR="004A2AE1">
          <w:rPr>
            <w:rFonts w:ascii="仿宋_GB2312" w:hAnsi="Calibri"/>
            <w:color w:val="000000"/>
            <w:sz w:val="32"/>
            <w:szCs w:val="32"/>
          </w:rPr>
          <w:t>1</w:t>
        </w:r>
        <w:r>
          <w:rPr>
            <w:rFonts w:ascii="仿宋_GB2312" w:hAnsi="Calibri"/>
            <w:color w:val="000000"/>
            <w:sz w:val="32"/>
            <w:szCs w:val="32"/>
          </w:rPr>
          <w:fldChar w:fldCharType="end"/>
        </w:r>
      </w:hyperlink>
    </w:p>
    <w:p w:rsidR="00E156CF" w:rsidRDefault="00E156CF">
      <w:pPr>
        <w:pStyle w:val="20"/>
        <w:tabs>
          <w:tab w:val="right" w:leader="dot" w:pos="8306"/>
        </w:tabs>
        <w:adjustRightInd w:val="0"/>
        <w:snapToGrid w:val="0"/>
        <w:spacing w:line="360" w:lineRule="auto"/>
        <w:ind w:firstLineChars="100" w:firstLine="300"/>
        <w:rPr>
          <w:sz w:val="32"/>
          <w:szCs w:val="32"/>
        </w:rPr>
      </w:pPr>
      <w:hyperlink w:anchor="_Toc3668" w:history="1">
        <w:r w:rsidR="004A2AE1">
          <w:rPr>
            <w:rFonts w:ascii="Cambria" w:eastAsia="楷体" w:hAnsi="Cambria" w:hint="eastAsia"/>
            <w:kern w:val="0"/>
            <w:sz w:val="32"/>
            <w:szCs w:val="32"/>
          </w:rPr>
          <w:t>（二）</w:t>
        </w:r>
        <w:r w:rsidR="004A2AE1">
          <w:rPr>
            <w:rFonts w:ascii="Cambria" w:eastAsia="楷体" w:hAnsi="Cambria" w:cstheme="majorBidi" w:hint="eastAsia"/>
            <w:kern w:val="0"/>
            <w:sz w:val="32"/>
            <w:szCs w:val="32"/>
          </w:rPr>
          <w:t>抽查复核</w:t>
        </w:r>
        <w:r w:rsidR="004A2AE1">
          <w:rPr>
            <w:rFonts w:ascii="Cambria" w:eastAsia="楷体" w:hAnsi="Cambria" w:hint="eastAsia"/>
            <w:kern w:val="0"/>
            <w:sz w:val="32"/>
            <w:szCs w:val="32"/>
          </w:rPr>
          <w:t>依据、方法和标准</w:t>
        </w:r>
        <w:r w:rsidR="004A2AE1">
          <w:rPr>
            <w:sz w:val="32"/>
            <w:szCs w:val="32"/>
          </w:rPr>
          <w:tab/>
        </w:r>
        <w:r>
          <w:rPr>
            <w:rFonts w:ascii="仿宋_GB2312" w:hAnsi="Calibri"/>
            <w:color w:val="000000"/>
            <w:sz w:val="32"/>
            <w:szCs w:val="32"/>
          </w:rPr>
          <w:fldChar w:fldCharType="begin"/>
        </w:r>
        <w:r w:rsidR="004A2AE1">
          <w:rPr>
            <w:rFonts w:ascii="仿宋_GB2312" w:hAnsi="Calibri"/>
            <w:color w:val="000000"/>
            <w:sz w:val="32"/>
            <w:szCs w:val="32"/>
          </w:rPr>
          <w:instrText xml:space="preserve"> PAGEREF _Toc3668 \h </w:instrText>
        </w:r>
        <w:r>
          <w:rPr>
            <w:rFonts w:ascii="仿宋_GB2312" w:hAnsi="Calibri"/>
            <w:color w:val="000000"/>
            <w:sz w:val="32"/>
            <w:szCs w:val="32"/>
          </w:rPr>
        </w:r>
        <w:r>
          <w:rPr>
            <w:rFonts w:ascii="仿宋_GB2312" w:hAnsi="Calibri"/>
            <w:color w:val="000000"/>
            <w:sz w:val="32"/>
            <w:szCs w:val="32"/>
          </w:rPr>
          <w:fldChar w:fldCharType="separate"/>
        </w:r>
        <w:r w:rsidR="004A2AE1">
          <w:rPr>
            <w:rFonts w:ascii="仿宋_GB2312" w:hAnsi="Calibri"/>
            <w:color w:val="000000"/>
            <w:sz w:val="32"/>
            <w:szCs w:val="32"/>
          </w:rPr>
          <w:t>1</w:t>
        </w:r>
        <w:r>
          <w:rPr>
            <w:rFonts w:ascii="仿宋_GB2312" w:hAnsi="Calibri"/>
            <w:color w:val="000000"/>
            <w:sz w:val="32"/>
            <w:szCs w:val="32"/>
          </w:rPr>
          <w:fldChar w:fldCharType="end"/>
        </w:r>
      </w:hyperlink>
    </w:p>
    <w:p w:rsidR="00E156CF" w:rsidRDefault="00E156CF">
      <w:pPr>
        <w:pStyle w:val="10"/>
        <w:tabs>
          <w:tab w:val="right" w:leader="dot" w:pos="8306"/>
        </w:tabs>
        <w:adjustRightInd w:val="0"/>
        <w:spacing w:line="360" w:lineRule="auto"/>
        <w:rPr>
          <w:sz w:val="32"/>
          <w:szCs w:val="32"/>
        </w:rPr>
      </w:pPr>
      <w:hyperlink w:anchor="_Toc17066" w:history="1">
        <w:r w:rsidR="004A2AE1">
          <w:rPr>
            <w:rFonts w:ascii="黑体" w:eastAsia="黑体" w:hAnsi="黑体" w:cs="黑体" w:hint="eastAsia"/>
            <w:sz w:val="32"/>
            <w:szCs w:val="32"/>
          </w:rPr>
          <w:t>二、绩效自评开展情况</w:t>
        </w:r>
        <w:r w:rsidR="004A2AE1">
          <w:rPr>
            <w:sz w:val="32"/>
            <w:szCs w:val="32"/>
          </w:rPr>
          <w:tab/>
        </w:r>
        <w:r>
          <w:rPr>
            <w:sz w:val="32"/>
            <w:szCs w:val="32"/>
          </w:rPr>
          <w:fldChar w:fldCharType="begin"/>
        </w:r>
        <w:r w:rsidR="004A2AE1">
          <w:rPr>
            <w:sz w:val="32"/>
            <w:szCs w:val="32"/>
          </w:rPr>
          <w:instrText xml:space="preserve"> PAGEREF _Toc17066 \h </w:instrText>
        </w:r>
        <w:r>
          <w:rPr>
            <w:sz w:val="32"/>
            <w:szCs w:val="32"/>
          </w:rPr>
        </w:r>
        <w:r>
          <w:rPr>
            <w:sz w:val="32"/>
            <w:szCs w:val="32"/>
          </w:rPr>
          <w:fldChar w:fldCharType="separate"/>
        </w:r>
        <w:r w:rsidR="004A2AE1">
          <w:rPr>
            <w:sz w:val="32"/>
            <w:szCs w:val="32"/>
          </w:rPr>
          <w:t>2</w:t>
        </w:r>
        <w:r>
          <w:rPr>
            <w:sz w:val="32"/>
            <w:szCs w:val="32"/>
          </w:rPr>
          <w:fldChar w:fldCharType="end"/>
        </w:r>
      </w:hyperlink>
    </w:p>
    <w:p w:rsidR="00E156CF" w:rsidRDefault="00E156CF">
      <w:pPr>
        <w:pStyle w:val="20"/>
        <w:tabs>
          <w:tab w:val="right" w:leader="dot" w:pos="8306"/>
        </w:tabs>
        <w:adjustRightInd w:val="0"/>
        <w:snapToGrid w:val="0"/>
        <w:spacing w:line="360" w:lineRule="auto"/>
        <w:ind w:leftChars="352" w:left="739"/>
        <w:rPr>
          <w:sz w:val="32"/>
          <w:szCs w:val="32"/>
        </w:rPr>
      </w:pPr>
      <w:hyperlink w:anchor="_Toc16329" w:history="1">
        <w:r w:rsidR="004A2AE1">
          <w:rPr>
            <w:rFonts w:ascii="楷体_GB2312" w:eastAsia="楷体_GB2312" w:hAnsi="楷体_GB2312" w:cs="楷体_GB2312" w:hint="eastAsia"/>
            <w:spacing w:val="-4"/>
            <w:sz w:val="32"/>
            <w:szCs w:val="32"/>
          </w:rPr>
          <w:t>（一）绩效自评整体情况</w:t>
        </w:r>
        <w:r w:rsidR="004A2AE1">
          <w:rPr>
            <w:sz w:val="32"/>
            <w:szCs w:val="32"/>
          </w:rPr>
          <w:tab/>
        </w:r>
        <w:r>
          <w:rPr>
            <w:rFonts w:ascii="仿宋_GB2312" w:hAnsi="Calibri"/>
            <w:color w:val="000000"/>
            <w:sz w:val="32"/>
            <w:szCs w:val="32"/>
          </w:rPr>
          <w:fldChar w:fldCharType="begin"/>
        </w:r>
        <w:r w:rsidR="004A2AE1">
          <w:rPr>
            <w:rFonts w:ascii="仿宋_GB2312" w:hAnsi="Calibri"/>
            <w:color w:val="000000"/>
            <w:sz w:val="32"/>
            <w:szCs w:val="32"/>
          </w:rPr>
          <w:instrText xml:space="preserve"> PAGEREF _Toc16329 \h </w:instrText>
        </w:r>
        <w:r>
          <w:rPr>
            <w:rFonts w:ascii="仿宋_GB2312" w:hAnsi="Calibri"/>
            <w:color w:val="000000"/>
            <w:sz w:val="32"/>
            <w:szCs w:val="32"/>
          </w:rPr>
        </w:r>
        <w:r>
          <w:rPr>
            <w:rFonts w:ascii="仿宋_GB2312" w:hAnsi="Calibri"/>
            <w:color w:val="000000"/>
            <w:sz w:val="32"/>
            <w:szCs w:val="32"/>
          </w:rPr>
          <w:fldChar w:fldCharType="separate"/>
        </w:r>
        <w:r w:rsidR="004A2AE1">
          <w:rPr>
            <w:rFonts w:ascii="仿宋_GB2312" w:hAnsi="Calibri"/>
            <w:color w:val="000000"/>
            <w:sz w:val="32"/>
            <w:szCs w:val="32"/>
          </w:rPr>
          <w:t>2</w:t>
        </w:r>
        <w:r>
          <w:rPr>
            <w:rFonts w:ascii="仿宋_GB2312" w:hAnsi="Calibri"/>
            <w:color w:val="000000"/>
            <w:sz w:val="32"/>
            <w:szCs w:val="32"/>
          </w:rPr>
          <w:fldChar w:fldCharType="end"/>
        </w:r>
      </w:hyperlink>
    </w:p>
    <w:p w:rsidR="00E156CF" w:rsidRDefault="00E156CF">
      <w:pPr>
        <w:pStyle w:val="20"/>
        <w:tabs>
          <w:tab w:val="right" w:leader="dot" w:pos="8306"/>
        </w:tabs>
        <w:adjustRightInd w:val="0"/>
        <w:snapToGrid w:val="0"/>
        <w:spacing w:line="360" w:lineRule="auto"/>
        <w:ind w:firstLineChars="100" w:firstLine="300"/>
        <w:rPr>
          <w:sz w:val="32"/>
          <w:szCs w:val="32"/>
        </w:rPr>
      </w:pPr>
      <w:hyperlink w:anchor="_Toc23927" w:history="1">
        <w:r w:rsidR="004A2AE1">
          <w:rPr>
            <w:rFonts w:ascii="楷体_GB2312" w:eastAsia="楷体_GB2312" w:hAnsi="楷体_GB2312" w:cs="楷体_GB2312" w:hint="eastAsia"/>
            <w:spacing w:val="-4"/>
            <w:sz w:val="32"/>
            <w:szCs w:val="32"/>
          </w:rPr>
          <w:t>（二）主要成效</w:t>
        </w:r>
        <w:r w:rsidR="004A2AE1">
          <w:rPr>
            <w:sz w:val="32"/>
            <w:szCs w:val="32"/>
          </w:rPr>
          <w:tab/>
        </w:r>
        <w:r w:rsidR="004A2AE1">
          <w:rPr>
            <w:rFonts w:ascii="仿宋_GB2312" w:hAnsi="Calibri" w:hint="eastAsia"/>
            <w:color w:val="000000"/>
            <w:sz w:val="32"/>
            <w:szCs w:val="32"/>
          </w:rPr>
          <w:t>5</w:t>
        </w:r>
      </w:hyperlink>
    </w:p>
    <w:p w:rsidR="00E156CF" w:rsidRDefault="00E156CF">
      <w:pPr>
        <w:pStyle w:val="10"/>
        <w:tabs>
          <w:tab w:val="right" w:leader="dot" w:pos="8306"/>
        </w:tabs>
        <w:adjustRightInd w:val="0"/>
        <w:spacing w:line="360" w:lineRule="auto"/>
        <w:rPr>
          <w:sz w:val="32"/>
          <w:szCs w:val="32"/>
        </w:rPr>
      </w:pPr>
      <w:hyperlink w:anchor="_Toc23295" w:history="1">
        <w:r w:rsidR="004A2AE1">
          <w:rPr>
            <w:rFonts w:ascii="黑体" w:eastAsia="黑体" w:hAnsi="黑体" w:cs="黑体" w:hint="eastAsia"/>
            <w:sz w:val="32"/>
            <w:szCs w:val="32"/>
          </w:rPr>
          <w:t>三、绩效自评抽查复核情况</w:t>
        </w:r>
        <w:r w:rsidR="004A2AE1">
          <w:rPr>
            <w:sz w:val="32"/>
            <w:szCs w:val="32"/>
          </w:rPr>
          <w:tab/>
        </w:r>
        <w:r w:rsidR="004A2AE1">
          <w:rPr>
            <w:rFonts w:hint="eastAsia"/>
            <w:sz w:val="32"/>
            <w:szCs w:val="32"/>
          </w:rPr>
          <w:t>5</w:t>
        </w:r>
      </w:hyperlink>
    </w:p>
    <w:p w:rsidR="00E156CF" w:rsidRDefault="00E156CF">
      <w:pPr>
        <w:pStyle w:val="20"/>
        <w:tabs>
          <w:tab w:val="right" w:leader="dot" w:pos="8306"/>
        </w:tabs>
        <w:adjustRightInd w:val="0"/>
        <w:snapToGrid w:val="0"/>
        <w:spacing w:line="360" w:lineRule="auto"/>
        <w:ind w:firstLineChars="100" w:firstLine="300"/>
        <w:rPr>
          <w:sz w:val="32"/>
          <w:szCs w:val="32"/>
        </w:rPr>
      </w:pPr>
      <w:hyperlink w:anchor="_Toc23965" w:history="1">
        <w:r w:rsidR="004A2AE1">
          <w:rPr>
            <w:rFonts w:ascii="楷体_GB2312" w:eastAsia="楷体_GB2312" w:hAnsi="楷体_GB2312" w:cs="楷体_GB2312" w:hint="eastAsia"/>
            <w:sz w:val="32"/>
            <w:szCs w:val="32"/>
          </w:rPr>
          <w:t>（一）自评和抽查复核评分结果差异率分析</w:t>
        </w:r>
        <w:r w:rsidR="004A2AE1">
          <w:rPr>
            <w:sz w:val="32"/>
            <w:szCs w:val="32"/>
          </w:rPr>
          <w:tab/>
        </w:r>
        <w:r w:rsidR="004A2AE1">
          <w:rPr>
            <w:rFonts w:ascii="仿宋_GB2312" w:hAnsi="Calibri" w:hint="eastAsia"/>
            <w:color w:val="000000"/>
            <w:sz w:val="32"/>
            <w:szCs w:val="32"/>
          </w:rPr>
          <w:t>5</w:t>
        </w:r>
      </w:hyperlink>
    </w:p>
    <w:p w:rsidR="00E156CF" w:rsidRDefault="00E156CF">
      <w:pPr>
        <w:pStyle w:val="20"/>
        <w:tabs>
          <w:tab w:val="right" w:leader="dot" w:pos="8306"/>
        </w:tabs>
        <w:adjustRightInd w:val="0"/>
        <w:snapToGrid w:val="0"/>
        <w:spacing w:line="360" w:lineRule="auto"/>
        <w:ind w:firstLineChars="100" w:firstLine="300"/>
        <w:rPr>
          <w:sz w:val="32"/>
          <w:szCs w:val="32"/>
        </w:rPr>
      </w:pPr>
      <w:hyperlink w:anchor="_Toc10063" w:history="1">
        <w:r w:rsidR="004A2AE1">
          <w:rPr>
            <w:rFonts w:ascii="楷体_GB2312" w:eastAsia="楷体_GB2312" w:hAnsi="楷体_GB2312" w:cs="楷体_GB2312" w:hint="eastAsia"/>
            <w:sz w:val="32"/>
            <w:szCs w:val="32"/>
          </w:rPr>
          <w:t>（二）抽查复核发现的问题</w:t>
        </w:r>
        <w:r w:rsidR="004A2AE1">
          <w:rPr>
            <w:sz w:val="32"/>
            <w:szCs w:val="32"/>
          </w:rPr>
          <w:tab/>
        </w:r>
        <w:r w:rsidR="004A2AE1">
          <w:rPr>
            <w:rFonts w:ascii="仿宋_GB2312" w:hAnsi="Calibri" w:hint="eastAsia"/>
            <w:color w:val="000000"/>
            <w:sz w:val="32"/>
            <w:szCs w:val="32"/>
          </w:rPr>
          <w:t>6</w:t>
        </w:r>
      </w:hyperlink>
    </w:p>
    <w:p w:rsidR="00E156CF" w:rsidRDefault="00E156CF">
      <w:pPr>
        <w:pStyle w:val="10"/>
        <w:tabs>
          <w:tab w:val="right" w:leader="dot" w:pos="8306"/>
        </w:tabs>
        <w:adjustRightInd w:val="0"/>
        <w:spacing w:line="360" w:lineRule="auto"/>
        <w:rPr>
          <w:sz w:val="32"/>
          <w:szCs w:val="32"/>
        </w:rPr>
      </w:pPr>
      <w:hyperlink w:anchor="_Toc19466" w:history="1">
        <w:r w:rsidR="004A2AE1">
          <w:rPr>
            <w:rFonts w:ascii="黑体" w:eastAsia="黑体" w:hAnsi="黑体" w:cs="黑体" w:hint="eastAsia"/>
            <w:sz w:val="32"/>
            <w:szCs w:val="32"/>
          </w:rPr>
          <w:t>四、意见建议</w:t>
        </w:r>
        <w:r w:rsidR="004A2AE1">
          <w:rPr>
            <w:sz w:val="32"/>
            <w:szCs w:val="32"/>
          </w:rPr>
          <w:tab/>
        </w:r>
        <w:r w:rsidR="004A2AE1">
          <w:rPr>
            <w:rFonts w:hint="eastAsia"/>
            <w:sz w:val="32"/>
            <w:szCs w:val="32"/>
          </w:rPr>
          <w:t>6</w:t>
        </w:r>
      </w:hyperlink>
    </w:p>
    <w:p w:rsidR="00E156CF" w:rsidRDefault="00E156CF">
      <w:pPr>
        <w:pStyle w:val="aa"/>
        <w:numPr>
          <w:ilvl w:val="255"/>
          <w:numId w:val="0"/>
        </w:numPr>
        <w:adjustRightInd w:val="0"/>
        <w:snapToGrid w:val="0"/>
        <w:spacing w:line="360" w:lineRule="auto"/>
        <w:ind w:left="2730"/>
        <w:rPr>
          <w:rFonts w:ascii="黑体" w:eastAsia="黑体" w:hAnsi="黑体" w:cs="黑体"/>
          <w:sz w:val="32"/>
          <w:szCs w:val="32"/>
        </w:rPr>
      </w:pPr>
      <w:r>
        <w:rPr>
          <w:rFonts w:eastAsia="宋体"/>
          <w:bCs/>
          <w:sz w:val="32"/>
          <w:szCs w:val="32"/>
        </w:rPr>
        <w:fldChar w:fldCharType="end"/>
      </w:r>
    </w:p>
    <w:p w:rsidR="00E156CF" w:rsidRDefault="00E156CF">
      <w:pPr>
        <w:pStyle w:val="1"/>
        <w:widowControl/>
        <w:overflowPunct w:val="0"/>
        <w:autoSpaceDE w:val="0"/>
        <w:autoSpaceDN w:val="0"/>
        <w:adjustRightInd w:val="0"/>
        <w:snapToGrid w:val="0"/>
        <w:spacing w:line="240" w:lineRule="auto"/>
        <w:ind w:firstLineChars="200" w:firstLine="480"/>
        <w:textAlignment w:val="baseline"/>
        <w:rPr>
          <w:rFonts w:eastAsia="宋体"/>
          <w:b w:val="0"/>
          <w:bCs/>
          <w:sz w:val="24"/>
        </w:rPr>
      </w:pPr>
    </w:p>
    <w:p w:rsidR="00E156CF" w:rsidRDefault="00E156CF">
      <w:pPr>
        <w:sectPr w:rsidR="00E156CF">
          <w:footerReference w:type="default" r:id="rId8"/>
          <w:pgSz w:w="11906" w:h="16838"/>
          <w:pgMar w:top="1440" w:right="1800" w:bottom="1440" w:left="1800" w:header="737" w:footer="851" w:gutter="0"/>
          <w:pgNumType w:start="1"/>
          <w:cols w:space="720"/>
          <w:docGrid w:type="lines" w:linePitch="408"/>
        </w:sectPr>
      </w:pPr>
    </w:p>
    <w:p w:rsidR="00E156CF" w:rsidRDefault="004A2AE1">
      <w:pPr>
        <w:tabs>
          <w:tab w:val="left" w:pos="3618"/>
        </w:tabs>
        <w:spacing w:line="580" w:lineRule="exact"/>
        <w:jc w:val="left"/>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lastRenderedPageBreak/>
        <w:tab/>
      </w:r>
    </w:p>
    <w:p w:rsidR="00E156CF" w:rsidRDefault="004A2AE1">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2023</w:t>
      </w:r>
      <w:r>
        <w:rPr>
          <w:rFonts w:ascii="方正小标宋简体" w:eastAsia="方正小标宋简体" w:hAnsi="方正小标宋简体" w:cs="方正小标宋简体" w:hint="eastAsia"/>
          <w:bCs/>
          <w:sz w:val="44"/>
          <w:szCs w:val="44"/>
        </w:rPr>
        <w:t>年度绩效评价中介费资金绩效自评</w:t>
      </w:r>
    </w:p>
    <w:p w:rsidR="00E156CF" w:rsidRDefault="004A2AE1">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抽查复核报告</w:t>
      </w:r>
    </w:p>
    <w:p w:rsidR="00E156CF" w:rsidRDefault="00E156CF">
      <w:pPr>
        <w:spacing w:line="580" w:lineRule="exact"/>
        <w:jc w:val="center"/>
        <w:rPr>
          <w:rFonts w:ascii="仿宋_GB2312" w:eastAsia="仿宋_GB2312" w:hAnsi="仿宋_GB2312" w:cs="仿宋_GB2312"/>
          <w:sz w:val="32"/>
          <w:szCs w:val="32"/>
        </w:rPr>
      </w:pPr>
    </w:p>
    <w:p w:rsidR="00E156CF" w:rsidRDefault="004A2AE1">
      <w:pPr>
        <w:pStyle w:val="aa"/>
        <w:spacing w:line="580" w:lineRule="exact"/>
        <w:ind w:left="640" w:firstLineChars="0" w:firstLine="0"/>
        <w:outlineLvl w:val="0"/>
        <w:rPr>
          <w:rFonts w:ascii="黑体" w:eastAsia="黑体" w:hAnsi="黑体" w:cs="黑体"/>
          <w:sz w:val="32"/>
          <w:szCs w:val="32"/>
        </w:rPr>
      </w:pPr>
      <w:bookmarkStart w:id="1" w:name="_Toc27098"/>
      <w:bookmarkStart w:id="2" w:name="_Toc4413"/>
      <w:bookmarkStart w:id="3" w:name="_Toc11904"/>
      <w:bookmarkStart w:id="4" w:name="_Toc20850"/>
      <w:r>
        <w:rPr>
          <w:rFonts w:ascii="黑体" w:eastAsia="黑体" w:hAnsi="黑体" w:cs="黑体" w:hint="eastAsia"/>
          <w:sz w:val="32"/>
          <w:szCs w:val="32"/>
        </w:rPr>
        <w:t>一、组织情况（抽查组织情况）</w:t>
      </w:r>
      <w:bookmarkEnd w:id="1"/>
      <w:bookmarkEnd w:id="2"/>
      <w:bookmarkEnd w:id="3"/>
      <w:bookmarkEnd w:id="4"/>
    </w:p>
    <w:p w:rsidR="00E156CF" w:rsidRDefault="004A2AE1">
      <w:pPr>
        <w:pStyle w:val="2"/>
        <w:keepNext w:val="0"/>
        <w:widowControl/>
        <w:overflowPunct w:val="0"/>
        <w:autoSpaceDE w:val="0"/>
        <w:autoSpaceDN w:val="0"/>
        <w:adjustRightInd w:val="0"/>
        <w:snapToGrid w:val="0"/>
        <w:spacing w:before="0" w:after="0" w:line="580" w:lineRule="exact"/>
        <w:ind w:firstLineChars="200" w:firstLine="640"/>
        <w:textAlignment w:val="baseline"/>
        <w:rPr>
          <w:rFonts w:ascii="Cambria" w:eastAsia="楷体" w:hAnsi="Cambria"/>
          <w:b w:val="0"/>
          <w:bCs w:val="0"/>
          <w:kern w:val="0"/>
        </w:rPr>
      </w:pPr>
      <w:bookmarkStart w:id="5" w:name="_Toc11369"/>
      <w:bookmarkStart w:id="6" w:name="_Toc23777"/>
      <w:bookmarkStart w:id="7" w:name="_Toc21684"/>
      <w:bookmarkStart w:id="8" w:name="_Toc11751"/>
      <w:bookmarkStart w:id="9" w:name="_Toc78653001"/>
      <w:r>
        <w:rPr>
          <w:rFonts w:ascii="Cambria" w:eastAsia="楷体" w:hAnsi="Cambria" w:hint="eastAsia"/>
          <w:b w:val="0"/>
          <w:bCs w:val="0"/>
          <w:kern w:val="0"/>
        </w:rPr>
        <w:t>（一）抽查复核目的和对象</w:t>
      </w:r>
      <w:bookmarkEnd w:id="5"/>
      <w:bookmarkEnd w:id="6"/>
      <w:bookmarkEnd w:id="7"/>
      <w:bookmarkEnd w:id="8"/>
      <w:bookmarkEnd w:id="9"/>
    </w:p>
    <w:p w:rsidR="00E156CF" w:rsidRDefault="004A2AE1">
      <w:pPr>
        <w:spacing w:line="580" w:lineRule="exact"/>
        <w:ind w:firstLineChars="200" w:firstLine="640"/>
        <w:rPr>
          <w:rFonts w:ascii="仿宋_GB2312" w:hAnsi="仿宋"/>
          <w:sz w:val="32"/>
          <w:szCs w:val="32"/>
        </w:rPr>
      </w:pPr>
      <w:r>
        <w:rPr>
          <w:rFonts w:ascii="仿宋_GB2312" w:hAnsi="仿宋" w:hint="eastAsia"/>
          <w:sz w:val="32"/>
          <w:szCs w:val="32"/>
        </w:rPr>
        <w:t>1.</w:t>
      </w:r>
      <w:r>
        <w:rPr>
          <w:rFonts w:ascii="仿宋_GB2312" w:eastAsia="仿宋_GB2312" w:hAnsi="楷体_GB2312" w:cs="楷体_GB2312" w:hint="eastAsia"/>
          <w:spacing w:val="-4"/>
          <w:sz w:val="32"/>
          <w:szCs w:val="32"/>
        </w:rPr>
        <w:t>抽查复核目的</w:t>
      </w:r>
    </w:p>
    <w:p w:rsidR="00E156CF" w:rsidRDefault="004A2AE1">
      <w:pPr>
        <w:spacing w:line="590" w:lineRule="exact"/>
        <w:ind w:firstLineChars="200" w:firstLine="624"/>
        <w:rPr>
          <w:rFonts w:ascii="仿宋" w:eastAsia="仿宋" w:hAnsi="仿宋" w:cs="Times New Roman"/>
          <w:spacing w:val="-4"/>
          <w:sz w:val="32"/>
          <w:szCs w:val="32"/>
        </w:rPr>
      </w:pPr>
      <w:bookmarkStart w:id="10" w:name="_Toc13445"/>
      <w:bookmarkStart w:id="11" w:name="_Toc27153"/>
      <w:r>
        <w:rPr>
          <w:rFonts w:ascii="仿宋" w:eastAsia="仿宋" w:hAnsi="仿宋" w:cs="Times New Roman" w:hint="eastAsia"/>
          <w:spacing w:val="-4"/>
          <w:sz w:val="32"/>
          <w:szCs w:val="32"/>
        </w:rPr>
        <w:t>通过项目资金使用情况、财务管理状况以及各项目主管单位和项目执行单位为加强管理所制定的相关制度、采取的措施等方面进行分析，全面了解资金的使用效率和效果，项目管理的过程是否规范、是否实现了预期绩效目标。同时，通过绩效评价总结项目在决策、执行等方面的经验，查找其存在的不足，为今后完善同类项目的管理，提供可行性参考建议</w:t>
      </w:r>
      <w:bookmarkEnd w:id="10"/>
      <w:bookmarkEnd w:id="11"/>
      <w:r>
        <w:rPr>
          <w:rFonts w:ascii="仿宋" w:eastAsia="仿宋" w:hAnsi="仿宋" w:cs="Times New Roman" w:hint="eastAsia"/>
          <w:spacing w:val="-4"/>
          <w:sz w:val="32"/>
          <w:szCs w:val="32"/>
        </w:rPr>
        <w:t>。</w:t>
      </w:r>
    </w:p>
    <w:p w:rsidR="00E156CF" w:rsidRDefault="004A2AE1">
      <w:pPr>
        <w:spacing w:line="580" w:lineRule="exact"/>
        <w:ind w:firstLineChars="200" w:firstLine="640"/>
        <w:rPr>
          <w:rFonts w:ascii="仿宋_GB2312" w:hAnsi="仿宋"/>
          <w:sz w:val="32"/>
          <w:szCs w:val="32"/>
        </w:rPr>
      </w:pPr>
      <w:r>
        <w:rPr>
          <w:rFonts w:ascii="仿宋_GB2312" w:hAnsi="仿宋" w:hint="eastAsia"/>
          <w:sz w:val="32"/>
          <w:szCs w:val="32"/>
        </w:rPr>
        <w:t>2.</w:t>
      </w:r>
      <w:r>
        <w:rPr>
          <w:rFonts w:ascii="仿宋_GB2312" w:eastAsia="仿宋_GB2312" w:hAnsi="楷体_GB2312" w:cs="楷体_GB2312" w:hint="eastAsia"/>
          <w:spacing w:val="-4"/>
          <w:sz w:val="32"/>
          <w:szCs w:val="32"/>
        </w:rPr>
        <w:t>抽查复核对象</w:t>
      </w:r>
    </w:p>
    <w:p w:rsidR="00E156CF" w:rsidRDefault="004A2AE1">
      <w:pPr>
        <w:spacing w:line="580" w:lineRule="exact"/>
        <w:ind w:firstLineChars="200" w:firstLine="624"/>
        <w:rPr>
          <w:rFonts w:ascii="仿宋_GB2312" w:hAnsi="仿宋_GB2312" w:cs="仿宋_GB2312"/>
          <w:sz w:val="32"/>
          <w:szCs w:val="32"/>
        </w:rPr>
      </w:pPr>
      <w:r>
        <w:rPr>
          <w:rFonts w:ascii="仿宋_GB2312" w:eastAsia="仿宋_GB2312" w:hAnsi="楷体_GB2312" w:cs="楷体_GB2312" w:hint="eastAsia"/>
          <w:spacing w:val="-4"/>
          <w:sz w:val="32"/>
          <w:szCs w:val="32"/>
        </w:rPr>
        <w:t>2023</w:t>
      </w:r>
      <w:r>
        <w:rPr>
          <w:rFonts w:ascii="仿宋_GB2312" w:eastAsia="仿宋_GB2312" w:hAnsi="楷体_GB2312" w:cs="楷体_GB2312" w:hint="eastAsia"/>
          <w:spacing w:val="-4"/>
          <w:sz w:val="32"/>
          <w:szCs w:val="32"/>
        </w:rPr>
        <w:t>年度绩效评价中介费资金单位自评表及证明资料，包括：批复文件、封闭式框架协议采购、项目财务收支明细账、资金执行情况统计表、资金支付相关凭证等</w:t>
      </w:r>
      <w:r>
        <w:rPr>
          <w:rFonts w:ascii="仿宋_GB2312" w:hAnsi="仿宋_GB2312" w:cs="仿宋_GB2312" w:hint="eastAsia"/>
          <w:sz w:val="32"/>
          <w:szCs w:val="32"/>
        </w:rPr>
        <w:t>。</w:t>
      </w:r>
    </w:p>
    <w:p w:rsidR="00E156CF" w:rsidRDefault="004A2AE1">
      <w:pPr>
        <w:pStyle w:val="2"/>
        <w:keepNext w:val="0"/>
        <w:widowControl/>
        <w:overflowPunct w:val="0"/>
        <w:autoSpaceDE w:val="0"/>
        <w:autoSpaceDN w:val="0"/>
        <w:adjustRightInd w:val="0"/>
        <w:snapToGrid w:val="0"/>
        <w:spacing w:before="0" w:after="0" w:line="580" w:lineRule="exact"/>
        <w:ind w:firstLineChars="200" w:firstLine="640"/>
        <w:textAlignment w:val="baseline"/>
        <w:rPr>
          <w:rFonts w:ascii="Cambria" w:eastAsia="楷体" w:hAnsi="Cambria"/>
          <w:b w:val="0"/>
          <w:bCs w:val="0"/>
          <w:kern w:val="0"/>
        </w:rPr>
      </w:pPr>
      <w:bookmarkStart w:id="12" w:name="_Toc3766"/>
      <w:bookmarkStart w:id="13" w:name="_Toc3668"/>
      <w:bookmarkStart w:id="14" w:name="_Toc419"/>
      <w:bookmarkStart w:id="15" w:name="_Toc19067"/>
      <w:bookmarkStart w:id="16" w:name="_Toc78653003"/>
      <w:r>
        <w:rPr>
          <w:rFonts w:ascii="Cambria" w:eastAsia="楷体" w:hAnsi="Cambria" w:hint="eastAsia"/>
          <w:b w:val="0"/>
          <w:bCs w:val="0"/>
          <w:kern w:val="0"/>
        </w:rPr>
        <w:t>（二）抽查复核依据、方法和标</w:t>
      </w:r>
      <w:r>
        <w:rPr>
          <w:rFonts w:ascii="Cambria" w:eastAsia="楷体" w:hAnsi="Cambria" w:hint="eastAsia"/>
          <w:b w:val="0"/>
          <w:bCs w:val="0"/>
          <w:kern w:val="0"/>
        </w:rPr>
        <w:t>准</w:t>
      </w:r>
      <w:bookmarkEnd w:id="12"/>
      <w:bookmarkEnd w:id="13"/>
      <w:bookmarkEnd w:id="14"/>
      <w:bookmarkEnd w:id="15"/>
      <w:bookmarkEnd w:id="16"/>
    </w:p>
    <w:p w:rsidR="00E156CF" w:rsidRDefault="004A2AE1">
      <w:pPr>
        <w:spacing w:line="580" w:lineRule="exact"/>
        <w:ind w:firstLineChars="200" w:firstLine="624"/>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 xml:space="preserve">1. </w:t>
      </w:r>
      <w:r>
        <w:rPr>
          <w:rFonts w:ascii="仿宋_GB2312" w:eastAsia="仿宋_GB2312" w:hAnsi="楷体_GB2312" w:cs="楷体_GB2312" w:hint="eastAsia"/>
          <w:spacing w:val="-4"/>
          <w:sz w:val="32"/>
          <w:szCs w:val="32"/>
        </w:rPr>
        <w:t>抽查复核依据</w:t>
      </w:r>
    </w:p>
    <w:p w:rsidR="00E156CF" w:rsidRDefault="004A2AE1">
      <w:pPr>
        <w:spacing w:line="580" w:lineRule="exact"/>
        <w:ind w:firstLineChars="200" w:firstLine="624"/>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本次绩效评价依据的财政相关文件包括《关于全面实施预算绩效管理的意见》（中发〔</w:t>
      </w:r>
      <w:r>
        <w:rPr>
          <w:rFonts w:ascii="仿宋_GB2312" w:eastAsia="仿宋_GB2312" w:hAnsi="楷体_GB2312" w:cs="楷体_GB2312" w:hint="eastAsia"/>
          <w:spacing w:val="-4"/>
          <w:sz w:val="32"/>
          <w:szCs w:val="32"/>
        </w:rPr>
        <w:t>2018</w:t>
      </w:r>
      <w:r>
        <w:rPr>
          <w:rFonts w:ascii="仿宋_GB2312" w:eastAsia="仿宋_GB2312" w:hAnsi="楷体_GB2312" w:cs="楷体_GB2312" w:hint="eastAsia"/>
          <w:spacing w:val="-4"/>
          <w:sz w:val="32"/>
          <w:szCs w:val="32"/>
        </w:rPr>
        <w:t>〕</w:t>
      </w:r>
      <w:r>
        <w:rPr>
          <w:rFonts w:ascii="仿宋_GB2312" w:eastAsia="仿宋_GB2312" w:hAnsi="楷体_GB2312" w:cs="楷体_GB2312" w:hint="eastAsia"/>
          <w:spacing w:val="-4"/>
          <w:sz w:val="32"/>
          <w:szCs w:val="32"/>
        </w:rPr>
        <w:t>34</w:t>
      </w:r>
      <w:r>
        <w:rPr>
          <w:rFonts w:ascii="仿宋_GB2312" w:eastAsia="仿宋_GB2312" w:hAnsi="楷体_GB2312" w:cs="楷体_GB2312" w:hint="eastAsia"/>
          <w:spacing w:val="-4"/>
          <w:sz w:val="32"/>
          <w:szCs w:val="32"/>
        </w:rPr>
        <w:t>号）、《关于印发</w:t>
      </w:r>
      <w:r>
        <w:rPr>
          <w:rFonts w:ascii="仿宋_GB2312" w:eastAsia="仿宋_GB2312" w:hAnsi="楷体_GB2312" w:cs="楷体_GB2312" w:hint="eastAsia"/>
          <w:spacing w:val="-4"/>
          <w:sz w:val="32"/>
          <w:szCs w:val="32"/>
        </w:rPr>
        <w:t>&lt;</w:t>
      </w:r>
      <w:r>
        <w:rPr>
          <w:rFonts w:ascii="仿宋_GB2312" w:eastAsia="仿宋_GB2312" w:hAnsi="楷体_GB2312" w:cs="楷体_GB2312" w:hint="eastAsia"/>
          <w:spacing w:val="-4"/>
          <w:sz w:val="32"/>
          <w:szCs w:val="32"/>
        </w:rPr>
        <w:t>项目支出绩效评价管理办法</w:t>
      </w:r>
      <w:r>
        <w:rPr>
          <w:rFonts w:ascii="仿宋_GB2312" w:eastAsia="仿宋_GB2312" w:hAnsi="楷体_GB2312" w:cs="楷体_GB2312" w:hint="eastAsia"/>
          <w:spacing w:val="-4"/>
          <w:sz w:val="32"/>
          <w:szCs w:val="32"/>
        </w:rPr>
        <w:t>&gt;</w:t>
      </w:r>
      <w:r>
        <w:rPr>
          <w:rFonts w:ascii="仿宋_GB2312" w:eastAsia="仿宋_GB2312" w:hAnsi="楷体_GB2312" w:cs="楷体_GB2312" w:hint="eastAsia"/>
          <w:spacing w:val="-4"/>
          <w:sz w:val="32"/>
          <w:szCs w:val="32"/>
        </w:rPr>
        <w:t>的通知》（财预〔</w:t>
      </w:r>
      <w:r>
        <w:rPr>
          <w:rFonts w:ascii="仿宋_GB2312" w:eastAsia="仿宋_GB2312" w:hAnsi="楷体_GB2312" w:cs="楷体_GB2312" w:hint="eastAsia"/>
          <w:spacing w:val="-4"/>
          <w:sz w:val="32"/>
          <w:szCs w:val="32"/>
        </w:rPr>
        <w:t>2020</w:t>
      </w:r>
      <w:r>
        <w:rPr>
          <w:rFonts w:ascii="仿宋_GB2312" w:eastAsia="仿宋_GB2312" w:hAnsi="楷体_GB2312" w:cs="楷体_GB2312" w:hint="eastAsia"/>
          <w:spacing w:val="-4"/>
          <w:sz w:val="32"/>
          <w:szCs w:val="32"/>
        </w:rPr>
        <w:t>〕</w:t>
      </w:r>
      <w:r>
        <w:rPr>
          <w:rFonts w:ascii="仿宋_GB2312" w:eastAsia="仿宋_GB2312" w:hAnsi="楷体_GB2312" w:cs="楷体_GB2312" w:hint="eastAsia"/>
          <w:spacing w:val="-4"/>
          <w:sz w:val="32"/>
          <w:szCs w:val="32"/>
        </w:rPr>
        <w:t>10</w:t>
      </w:r>
      <w:r>
        <w:rPr>
          <w:rFonts w:ascii="仿宋_GB2312" w:eastAsia="仿宋_GB2312" w:hAnsi="楷体_GB2312" w:cs="楷体_GB2312" w:hint="eastAsia"/>
          <w:spacing w:val="-4"/>
          <w:sz w:val="32"/>
          <w:szCs w:val="32"/>
        </w:rPr>
        <w:t>号）等文件精神。</w:t>
      </w:r>
    </w:p>
    <w:p w:rsidR="00E156CF" w:rsidRDefault="004A2AE1">
      <w:pPr>
        <w:spacing w:line="580" w:lineRule="exact"/>
        <w:ind w:firstLineChars="200" w:firstLine="624"/>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lastRenderedPageBreak/>
        <w:t xml:space="preserve">2. </w:t>
      </w:r>
      <w:r>
        <w:rPr>
          <w:rFonts w:ascii="仿宋_GB2312" w:eastAsia="仿宋_GB2312" w:hAnsi="楷体_GB2312" w:cs="楷体_GB2312" w:hint="eastAsia"/>
          <w:spacing w:val="-4"/>
          <w:sz w:val="32"/>
          <w:szCs w:val="32"/>
        </w:rPr>
        <w:t>抽查复核方法</w:t>
      </w:r>
    </w:p>
    <w:p w:rsidR="00E156CF" w:rsidRDefault="004A2AE1">
      <w:pPr>
        <w:spacing w:line="580" w:lineRule="exact"/>
        <w:ind w:firstLineChars="200" w:firstLine="624"/>
        <w:rPr>
          <w:rFonts w:ascii="仿宋_GB2312" w:eastAsia="仿宋_GB2312" w:hAnsi="楷体_GB2312" w:cs="楷体_GB2312"/>
          <w:spacing w:val="-4"/>
          <w:sz w:val="32"/>
          <w:szCs w:val="32"/>
        </w:rPr>
      </w:pPr>
      <w:bookmarkStart w:id="17" w:name="_Toc78653004"/>
      <w:r>
        <w:rPr>
          <w:rFonts w:ascii="仿宋_GB2312" w:eastAsia="仿宋_GB2312" w:hAnsi="楷体_GB2312" w:cs="楷体_GB2312" w:hint="eastAsia"/>
          <w:spacing w:val="-4"/>
          <w:sz w:val="32"/>
          <w:szCs w:val="32"/>
        </w:rPr>
        <w:t>为保证评价工作的科学性，根据预算部门及单位提供的材料，采取资料审核及现场勘查等方式抽查复核。</w:t>
      </w:r>
      <w:bookmarkEnd w:id="17"/>
    </w:p>
    <w:p w:rsidR="00E156CF" w:rsidRDefault="004A2AE1">
      <w:pPr>
        <w:spacing w:line="580" w:lineRule="exact"/>
        <w:ind w:firstLineChars="200" w:firstLine="624"/>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 xml:space="preserve">3. </w:t>
      </w:r>
      <w:r>
        <w:rPr>
          <w:rFonts w:ascii="仿宋_GB2312" w:eastAsia="仿宋_GB2312" w:hAnsi="楷体_GB2312" w:cs="楷体_GB2312" w:hint="eastAsia"/>
          <w:spacing w:val="-4"/>
          <w:sz w:val="32"/>
          <w:szCs w:val="32"/>
        </w:rPr>
        <w:t>抽查复核标准</w:t>
      </w:r>
    </w:p>
    <w:p w:rsidR="00E156CF" w:rsidRDefault="004A2AE1">
      <w:pPr>
        <w:autoSpaceDE w:val="0"/>
        <w:autoSpaceDN w:val="0"/>
        <w:adjustRightInd w:val="0"/>
        <w:spacing w:line="580" w:lineRule="exact"/>
        <w:ind w:firstLineChars="200" w:firstLine="624"/>
        <w:jc w:val="left"/>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根据《市级财政绩效评价操作指南》，本次绩效评价综合绩效级别具体分为</w:t>
      </w:r>
      <w:r>
        <w:rPr>
          <w:rFonts w:ascii="仿宋_GB2312" w:eastAsia="仿宋_GB2312" w:hAnsi="楷体_GB2312" w:cs="楷体_GB2312" w:hint="eastAsia"/>
          <w:spacing w:val="-4"/>
          <w:sz w:val="32"/>
          <w:szCs w:val="32"/>
        </w:rPr>
        <w:t>4</w:t>
      </w:r>
      <w:r>
        <w:rPr>
          <w:rFonts w:ascii="仿宋_GB2312" w:eastAsia="仿宋_GB2312" w:hAnsi="楷体_GB2312" w:cs="楷体_GB2312" w:hint="eastAsia"/>
          <w:spacing w:val="-4"/>
          <w:sz w:val="32"/>
          <w:szCs w:val="32"/>
        </w:rPr>
        <w:t>个等级：</w:t>
      </w:r>
    </w:p>
    <w:p w:rsidR="00E156CF" w:rsidRDefault="004A2AE1">
      <w:pPr>
        <w:autoSpaceDE w:val="0"/>
        <w:autoSpaceDN w:val="0"/>
        <w:adjustRightInd w:val="0"/>
        <w:spacing w:line="580" w:lineRule="exact"/>
        <w:ind w:firstLineChars="200" w:firstLine="624"/>
        <w:jc w:val="left"/>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综合得分在</w:t>
      </w:r>
      <w:r>
        <w:rPr>
          <w:rFonts w:ascii="仿宋_GB2312" w:eastAsia="仿宋_GB2312" w:hAnsi="楷体_GB2312" w:cs="楷体_GB2312" w:hint="eastAsia"/>
          <w:spacing w:val="-4"/>
          <w:sz w:val="32"/>
          <w:szCs w:val="32"/>
        </w:rPr>
        <w:t>90</w:t>
      </w:r>
      <w:r>
        <w:rPr>
          <w:rFonts w:ascii="仿宋_GB2312" w:eastAsia="仿宋_GB2312" w:hAnsi="楷体_GB2312" w:cs="楷体_GB2312" w:hint="eastAsia"/>
          <w:spacing w:val="-4"/>
          <w:sz w:val="32"/>
          <w:szCs w:val="32"/>
        </w:rPr>
        <w:t>分（含</w:t>
      </w:r>
      <w:r>
        <w:rPr>
          <w:rFonts w:ascii="仿宋_GB2312" w:eastAsia="仿宋_GB2312" w:hAnsi="楷体_GB2312" w:cs="楷体_GB2312" w:hint="eastAsia"/>
          <w:spacing w:val="-4"/>
          <w:sz w:val="32"/>
          <w:szCs w:val="32"/>
        </w:rPr>
        <w:t>90</w:t>
      </w:r>
      <w:r>
        <w:rPr>
          <w:rFonts w:ascii="仿宋_GB2312" w:eastAsia="仿宋_GB2312" w:hAnsi="楷体_GB2312" w:cs="楷体_GB2312" w:hint="eastAsia"/>
          <w:spacing w:val="-4"/>
          <w:sz w:val="32"/>
          <w:szCs w:val="32"/>
        </w:rPr>
        <w:t>分）以上为“优”；</w:t>
      </w:r>
    </w:p>
    <w:p w:rsidR="00E156CF" w:rsidRDefault="004A2AE1">
      <w:pPr>
        <w:autoSpaceDE w:val="0"/>
        <w:autoSpaceDN w:val="0"/>
        <w:adjustRightInd w:val="0"/>
        <w:spacing w:line="580" w:lineRule="exact"/>
        <w:ind w:firstLineChars="200" w:firstLine="624"/>
        <w:jc w:val="left"/>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综合得分在</w:t>
      </w:r>
      <w:r>
        <w:rPr>
          <w:rFonts w:ascii="仿宋_GB2312" w:eastAsia="仿宋_GB2312" w:hAnsi="楷体_GB2312" w:cs="楷体_GB2312" w:hint="eastAsia"/>
          <w:spacing w:val="-4"/>
          <w:sz w:val="32"/>
          <w:szCs w:val="32"/>
        </w:rPr>
        <w:t>80</w:t>
      </w:r>
      <w:r>
        <w:rPr>
          <w:rFonts w:ascii="仿宋_GB2312" w:eastAsia="仿宋_GB2312" w:hAnsi="楷体_GB2312" w:cs="楷体_GB2312" w:hint="eastAsia"/>
          <w:spacing w:val="-4"/>
          <w:sz w:val="32"/>
          <w:szCs w:val="32"/>
        </w:rPr>
        <w:t>～</w:t>
      </w:r>
      <w:r>
        <w:rPr>
          <w:rFonts w:ascii="仿宋_GB2312" w:eastAsia="仿宋_GB2312" w:hAnsi="楷体_GB2312" w:cs="楷体_GB2312" w:hint="eastAsia"/>
          <w:spacing w:val="-4"/>
          <w:sz w:val="32"/>
          <w:szCs w:val="32"/>
        </w:rPr>
        <w:t>90</w:t>
      </w:r>
      <w:r>
        <w:rPr>
          <w:rFonts w:ascii="仿宋_GB2312" w:eastAsia="仿宋_GB2312" w:hAnsi="楷体_GB2312" w:cs="楷体_GB2312" w:hint="eastAsia"/>
          <w:spacing w:val="-4"/>
          <w:sz w:val="32"/>
          <w:szCs w:val="32"/>
        </w:rPr>
        <w:t>分（含</w:t>
      </w:r>
      <w:r>
        <w:rPr>
          <w:rFonts w:ascii="仿宋_GB2312" w:eastAsia="仿宋_GB2312" w:hAnsi="楷体_GB2312" w:cs="楷体_GB2312" w:hint="eastAsia"/>
          <w:spacing w:val="-4"/>
          <w:sz w:val="32"/>
          <w:szCs w:val="32"/>
        </w:rPr>
        <w:t>80</w:t>
      </w:r>
      <w:r>
        <w:rPr>
          <w:rFonts w:ascii="仿宋_GB2312" w:eastAsia="仿宋_GB2312" w:hAnsi="楷体_GB2312" w:cs="楷体_GB2312" w:hint="eastAsia"/>
          <w:spacing w:val="-4"/>
          <w:sz w:val="32"/>
          <w:szCs w:val="32"/>
        </w:rPr>
        <w:t>分）为“良”；</w:t>
      </w:r>
    </w:p>
    <w:p w:rsidR="00E156CF" w:rsidRDefault="004A2AE1">
      <w:pPr>
        <w:autoSpaceDE w:val="0"/>
        <w:autoSpaceDN w:val="0"/>
        <w:adjustRightInd w:val="0"/>
        <w:spacing w:line="580" w:lineRule="exact"/>
        <w:ind w:firstLineChars="200" w:firstLine="624"/>
        <w:jc w:val="left"/>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综合</w:t>
      </w:r>
      <w:r>
        <w:rPr>
          <w:rFonts w:ascii="仿宋_GB2312" w:eastAsia="仿宋_GB2312" w:hAnsi="楷体_GB2312" w:cs="楷体_GB2312" w:hint="eastAsia"/>
          <w:spacing w:val="-4"/>
          <w:sz w:val="32"/>
          <w:szCs w:val="32"/>
        </w:rPr>
        <w:t>得分在</w:t>
      </w:r>
      <w:r>
        <w:rPr>
          <w:rFonts w:ascii="仿宋_GB2312" w:eastAsia="仿宋_GB2312" w:hAnsi="楷体_GB2312" w:cs="楷体_GB2312" w:hint="eastAsia"/>
          <w:spacing w:val="-4"/>
          <w:sz w:val="32"/>
          <w:szCs w:val="32"/>
        </w:rPr>
        <w:t>70</w:t>
      </w:r>
      <w:r>
        <w:rPr>
          <w:rFonts w:ascii="仿宋_GB2312" w:eastAsia="仿宋_GB2312" w:hAnsi="楷体_GB2312" w:cs="楷体_GB2312" w:hint="eastAsia"/>
          <w:spacing w:val="-4"/>
          <w:sz w:val="32"/>
          <w:szCs w:val="32"/>
        </w:rPr>
        <w:t>～</w:t>
      </w:r>
      <w:r>
        <w:rPr>
          <w:rFonts w:ascii="仿宋_GB2312" w:eastAsia="仿宋_GB2312" w:hAnsi="楷体_GB2312" w:cs="楷体_GB2312" w:hint="eastAsia"/>
          <w:spacing w:val="-4"/>
          <w:sz w:val="32"/>
          <w:szCs w:val="32"/>
        </w:rPr>
        <w:t>80</w:t>
      </w:r>
      <w:r>
        <w:rPr>
          <w:rFonts w:ascii="仿宋_GB2312" w:eastAsia="仿宋_GB2312" w:hAnsi="楷体_GB2312" w:cs="楷体_GB2312" w:hint="eastAsia"/>
          <w:spacing w:val="-4"/>
          <w:sz w:val="32"/>
          <w:szCs w:val="32"/>
        </w:rPr>
        <w:t>分（含</w:t>
      </w:r>
      <w:r>
        <w:rPr>
          <w:rFonts w:ascii="仿宋_GB2312" w:eastAsia="仿宋_GB2312" w:hAnsi="楷体_GB2312" w:cs="楷体_GB2312" w:hint="eastAsia"/>
          <w:spacing w:val="-4"/>
          <w:sz w:val="32"/>
          <w:szCs w:val="32"/>
        </w:rPr>
        <w:t>70</w:t>
      </w:r>
      <w:r>
        <w:rPr>
          <w:rFonts w:ascii="仿宋_GB2312" w:eastAsia="仿宋_GB2312" w:hAnsi="楷体_GB2312" w:cs="楷体_GB2312" w:hint="eastAsia"/>
          <w:spacing w:val="-4"/>
          <w:sz w:val="32"/>
          <w:szCs w:val="32"/>
        </w:rPr>
        <w:t>分）为“中”；</w:t>
      </w:r>
    </w:p>
    <w:p w:rsidR="00E156CF" w:rsidRDefault="004A2AE1">
      <w:pPr>
        <w:autoSpaceDE w:val="0"/>
        <w:autoSpaceDN w:val="0"/>
        <w:adjustRightInd w:val="0"/>
        <w:spacing w:line="580" w:lineRule="exact"/>
        <w:ind w:firstLineChars="200" w:firstLine="624"/>
        <w:jc w:val="left"/>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综合得分在</w:t>
      </w:r>
      <w:r>
        <w:rPr>
          <w:rFonts w:ascii="仿宋_GB2312" w:eastAsia="仿宋_GB2312" w:hAnsi="楷体_GB2312" w:cs="楷体_GB2312" w:hint="eastAsia"/>
          <w:spacing w:val="-4"/>
          <w:sz w:val="32"/>
          <w:szCs w:val="32"/>
        </w:rPr>
        <w:t>70</w:t>
      </w:r>
      <w:r>
        <w:rPr>
          <w:rFonts w:ascii="仿宋_GB2312" w:eastAsia="仿宋_GB2312" w:hAnsi="楷体_GB2312" w:cs="楷体_GB2312" w:hint="eastAsia"/>
          <w:spacing w:val="-4"/>
          <w:sz w:val="32"/>
          <w:szCs w:val="32"/>
        </w:rPr>
        <w:t>分以下为“差”。</w:t>
      </w:r>
    </w:p>
    <w:p w:rsidR="00E156CF" w:rsidRDefault="004A2AE1">
      <w:pPr>
        <w:spacing w:line="580" w:lineRule="exact"/>
        <w:ind w:firstLineChars="200" w:firstLine="640"/>
        <w:outlineLvl w:val="0"/>
        <w:rPr>
          <w:rFonts w:ascii="黑体" w:eastAsia="黑体" w:hAnsi="黑体" w:cs="黑体"/>
          <w:sz w:val="32"/>
          <w:szCs w:val="32"/>
        </w:rPr>
      </w:pPr>
      <w:bookmarkStart w:id="18" w:name="_Toc12238"/>
      <w:bookmarkStart w:id="19" w:name="_Toc17066"/>
      <w:bookmarkStart w:id="20" w:name="_Toc3191"/>
      <w:bookmarkStart w:id="21" w:name="_Toc28438"/>
      <w:r>
        <w:rPr>
          <w:rFonts w:ascii="黑体" w:eastAsia="黑体" w:hAnsi="黑体" w:cs="黑体" w:hint="eastAsia"/>
          <w:sz w:val="32"/>
          <w:szCs w:val="32"/>
        </w:rPr>
        <w:t>二、绩效自评开展情况</w:t>
      </w:r>
      <w:bookmarkEnd w:id="18"/>
      <w:bookmarkEnd w:id="19"/>
      <w:bookmarkEnd w:id="20"/>
      <w:bookmarkEnd w:id="21"/>
    </w:p>
    <w:p w:rsidR="00E156CF" w:rsidRDefault="004A2AE1">
      <w:pPr>
        <w:autoSpaceDE w:val="0"/>
        <w:autoSpaceDN w:val="0"/>
        <w:adjustRightInd w:val="0"/>
        <w:spacing w:line="580" w:lineRule="exact"/>
        <w:ind w:firstLineChars="200" w:firstLine="624"/>
        <w:jc w:val="left"/>
        <w:outlineLvl w:val="1"/>
        <w:rPr>
          <w:rFonts w:ascii="楷体_GB2312" w:eastAsia="楷体_GB2312" w:hAnsi="楷体_GB2312" w:cs="楷体_GB2312"/>
          <w:spacing w:val="-4"/>
          <w:sz w:val="32"/>
          <w:szCs w:val="32"/>
        </w:rPr>
      </w:pPr>
      <w:bookmarkStart w:id="22" w:name="_Toc5665"/>
      <w:bookmarkStart w:id="23" w:name="_Toc13477"/>
      <w:bookmarkStart w:id="24" w:name="_Toc16329"/>
      <w:bookmarkStart w:id="25" w:name="_Toc26575"/>
      <w:r>
        <w:rPr>
          <w:rFonts w:ascii="楷体_GB2312" w:eastAsia="楷体_GB2312" w:hAnsi="楷体_GB2312" w:cs="楷体_GB2312" w:hint="eastAsia"/>
          <w:spacing w:val="-4"/>
          <w:sz w:val="32"/>
          <w:szCs w:val="32"/>
        </w:rPr>
        <w:t>（一）绩效自评整体情况</w:t>
      </w:r>
      <w:bookmarkEnd w:id="22"/>
      <w:bookmarkEnd w:id="23"/>
      <w:bookmarkEnd w:id="24"/>
      <w:bookmarkEnd w:id="25"/>
    </w:p>
    <w:p w:rsidR="00E156CF" w:rsidRDefault="004A2AE1">
      <w:pPr>
        <w:spacing w:line="590" w:lineRule="exact"/>
        <w:ind w:firstLineChars="200" w:firstLine="624"/>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2023</w:t>
      </w:r>
      <w:r>
        <w:rPr>
          <w:rFonts w:ascii="仿宋_GB2312" w:eastAsia="仿宋_GB2312" w:hAnsi="楷体_GB2312" w:cs="楷体_GB2312" w:hint="eastAsia"/>
          <w:spacing w:val="-4"/>
          <w:sz w:val="32"/>
          <w:szCs w:val="32"/>
        </w:rPr>
        <w:t>年度绩效评价中介费</w:t>
      </w:r>
      <w:r>
        <w:rPr>
          <w:rFonts w:ascii="仿宋" w:eastAsia="仿宋" w:hAnsi="仿宋" w:cs="Times New Roman" w:hint="eastAsia"/>
          <w:spacing w:val="-4"/>
          <w:sz w:val="32"/>
          <w:szCs w:val="32"/>
        </w:rPr>
        <w:t>项目</w:t>
      </w:r>
      <w:r>
        <w:rPr>
          <w:rFonts w:ascii="仿宋_GB2312" w:eastAsia="仿宋_GB2312" w:hAnsi="楷体_GB2312" w:cs="楷体_GB2312" w:hint="eastAsia"/>
          <w:spacing w:val="-4"/>
          <w:sz w:val="32"/>
          <w:szCs w:val="32"/>
        </w:rPr>
        <w:t>有完整的项目支出绩效目标，且项目绩效目标未调整、项目资金使用规范、相关材料报送及时。</w:t>
      </w:r>
    </w:p>
    <w:p w:rsidR="00E156CF" w:rsidRDefault="004A2AE1">
      <w:pPr>
        <w:spacing w:line="590" w:lineRule="exact"/>
        <w:ind w:firstLineChars="200" w:firstLine="624"/>
        <w:rPr>
          <w:rFonts w:ascii="仿宋" w:eastAsia="仿宋" w:hAnsi="仿宋" w:cs="Times New Roman"/>
          <w:spacing w:val="-4"/>
          <w:sz w:val="32"/>
          <w:szCs w:val="32"/>
        </w:rPr>
      </w:pPr>
      <w:bookmarkStart w:id="26" w:name="_Toc70428902"/>
      <w:bookmarkStart w:id="27" w:name="_Toc27357"/>
      <w:bookmarkStart w:id="28" w:name="_Toc8801"/>
      <w:bookmarkStart w:id="29" w:name="_Toc14915"/>
      <w:bookmarkStart w:id="30" w:name="_Toc23927"/>
      <w:bookmarkStart w:id="31" w:name="_Toc10272"/>
      <w:r>
        <w:rPr>
          <w:rFonts w:ascii="仿宋" w:eastAsia="仿宋" w:hAnsi="仿宋" w:cs="Times New Roman" w:hint="eastAsia"/>
          <w:spacing w:val="-4"/>
          <w:sz w:val="32"/>
          <w:szCs w:val="32"/>
        </w:rPr>
        <w:t>绩效自评总分</w:t>
      </w:r>
      <w:r>
        <w:rPr>
          <w:rFonts w:ascii="仿宋" w:eastAsia="仿宋" w:hAnsi="仿宋" w:cs="Times New Roman" w:hint="eastAsia"/>
          <w:spacing w:val="-4"/>
          <w:sz w:val="32"/>
          <w:szCs w:val="32"/>
        </w:rPr>
        <w:t>100</w:t>
      </w:r>
      <w:r>
        <w:rPr>
          <w:rFonts w:ascii="仿宋" w:eastAsia="仿宋" w:hAnsi="仿宋" w:cs="Times New Roman" w:hint="eastAsia"/>
          <w:spacing w:val="-4"/>
          <w:sz w:val="32"/>
          <w:szCs w:val="32"/>
        </w:rPr>
        <w:t>分，其中：项目预算执行情况</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分，年度绩效指标</w:t>
      </w:r>
      <w:r>
        <w:rPr>
          <w:rFonts w:ascii="仿宋" w:eastAsia="仿宋" w:hAnsi="仿宋" w:cs="Times New Roman" w:hint="eastAsia"/>
          <w:spacing w:val="-4"/>
          <w:sz w:val="32"/>
          <w:szCs w:val="32"/>
        </w:rPr>
        <w:t>90</w:t>
      </w:r>
      <w:r>
        <w:rPr>
          <w:rFonts w:ascii="仿宋" w:eastAsia="仿宋" w:hAnsi="仿宋" w:cs="Times New Roman" w:hint="eastAsia"/>
          <w:spacing w:val="-4"/>
          <w:sz w:val="32"/>
          <w:szCs w:val="32"/>
        </w:rPr>
        <w:t>分。年度绩效指标分为</w:t>
      </w:r>
      <w:r>
        <w:rPr>
          <w:rFonts w:ascii="仿宋" w:eastAsia="仿宋" w:hAnsi="仿宋" w:cs="Times New Roman" w:hint="eastAsia"/>
          <w:spacing w:val="-4"/>
          <w:sz w:val="32"/>
          <w:szCs w:val="32"/>
        </w:rPr>
        <w:t>4</w:t>
      </w:r>
      <w:r>
        <w:rPr>
          <w:rFonts w:ascii="仿宋" w:eastAsia="仿宋" w:hAnsi="仿宋" w:cs="Times New Roman" w:hint="eastAsia"/>
          <w:spacing w:val="-4"/>
          <w:sz w:val="32"/>
          <w:szCs w:val="32"/>
        </w:rPr>
        <w:t>个一级指标，</w:t>
      </w:r>
      <w:r>
        <w:rPr>
          <w:rFonts w:ascii="仿宋" w:eastAsia="仿宋" w:hAnsi="仿宋" w:cs="Times New Roman" w:hint="eastAsia"/>
          <w:spacing w:val="-4"/>
          <w:sz w:val="32"/>
          <w:szCs w:val="32"/>
        </w:rPr>
        <w:t>7</w:t>
      </w:r>
      <w:r>
        <w:rPr>
          <w:rFonts w:ascii="仿宋" w:eastAsia="仿宋" w:hAnsi="仿宋" w:cs="Times New Roman" w:hint="eastAsia"/>
          <w:spacing w:val="-4"/>
          <w:sz w:val="32"/>
          <w:szCs w:val="32"/>
        </w:rPr>
        <w:t>个二级指标，</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个三级指标（具体指标及分值、得分详见</w:t>
      </w:r>
      <w:r>
        <w:rPr>
          <w:rFonts w:ascii="宋体" w:eastAsia="宋体" w:hAnsi="宋体" w:cs="宋体" w:hint="eastAsia"/>
          <w:spacing w:val="-4"/>
          <w:sz w:val="32"/>
          <w:szCs w:val="32"/>
        </w:rPr>
        <w:t>《</w:t>
      </w:r>
      <w:r>
        <w:rPr>
          <w:rFonts w:ascii="仿宋" w:eastAsia="仿宋" w:hAnsi="仿宋" w:cs="仿宋" w:hint="eastAsia"/>
          <w:spacing w:val="-4"/>
          <w:sz w:val="32"/>
          <w:szCs w:val="32"/>
        </w:rPr>
        <w:t>2023</w:t>
      </w:r>
      <w:r>
        <w:rPr>
          <w:rFonts w:ascii="仿宋" w:eastAsia="仿宋" w:hAnsi="仿宋" w:cs="Times New Roman" w:hint="eastAsia"/>
          <w:spacing w:val="-4"/>
          <w:sz w:val="32"/>
          <w:szCs w:val="32"/>
        </w:rPr>
        <w:t>年度绩效评价中介费资金单位自评抽查复核差异率统计表</w:t>
      </w:r>
      <w:r>
        <w:rPr>
          <w:rFonts w:ascii="宋体" w:eastAsia="宋体" w:hAnsi="宋体" w:cs="宋体" w:hint="eastAsia"/>
          <w:spacing w:val="-4"/>
          <w:sz w:val="32"/>
          <w:szCs w:val="32"/>
        </w:rPr>
        <w:t>》</w:t>
      </w:r>
      <w:r>
        <w:rPr>
          <w:rFonts w:ascii="仿宋" w:eastAsia="仿宋" w:hAnsi="仿宋" w:cs="Times New Roman" w:hint="eastAsia"/>
          <w:spacing w:val="-4"/>
          <w:sz w:val="32"/>
          <w:szCs w:val="32"/>
        </w:rPr>
        <w:t>）。</w:t>
      </w:r>
    </w:p>
    <w:p w:rsidR="00E156CF" w:rsidRDefault="004A2AE1">
      <w:pPr>
        <w:spacing w:line="590" w:lineRule="exact"/>
        <w:ind w:firstLineChars="200" w:firstLine="627"/>
        <w:rPr>
          <w:rFonts w:ascii="仿宋" w:eastAsia="仿宋" w:hAnsi="仿宋" w:cs="Times New Roman"/>
          <w:spacing w:val="-4"/>
          <w:sz w:val="32"/>
          <w:szCs w:val="32"/>
        </w:rPr>
      </w:pPr>
      <w:r>
        <w:rPr>
          <w:rFonts w:ascii="仿宋" w:eastAsia="仿宋" w:hAnsi="仿宋" w:cs="Times New Roman" w:hint="eastAsia"/>
          <w:b/>
          <w:spacing w:val="-4"/>
          <w:sz w:val="32"/>
          <w:szCs w:val="32"/>
        </w:rPr>
        <w:t>项目绩效自评总得分</w:t>
      </w:r>
      <w:r>
        <w:rPr>
          <w:rFonts w:ascii="仿宋" w:eastAsia="仿宋" w:hAnsi="仿宋" w:cs="Times New Roman" w:hint="eastAsia"/>
          <w:b/>
          <w:spacing w:val="-4"/>
          <w:sz w:val="32"/>
          <w:szCs w:val="32"/>
        </w:rPr>
        <w:t>95.95</w:t>
      </w:r>
      <w:r>
        <w:rPr>
          <w:rFonts w:ascii="仿宋" w:eastAsia="仿宋" w:hAnsi="仿宋" w:cs="Times New Roman" w:hint="eastAsia"/>
          <w:b/>
          <w:spacing w:val="-4"/>
          <w:sz w:val="32"/>
          <w:szCs w:val="32"/>
        </w:rPr>
        <w:t>分。自评等级为“优”。</w:t>
      </w:r>
      <w:r>
        <w:rPr>
          <w:rFonts w:ascii="仿宋" w:eastAsia="仿宋" w:hAnsi="仿宋" w:cs="Times New Roman" w:hint="eastAsia"/>
          <w:spacing w:val="-4"/>
          <w:sz w:val="32"/>
          <w:szCs w:val="32"/>
        </w:rPr>
        <w:t>具体评价得分如下：</w:t>
      </w:r>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1.</w:t>
      </w:r>
      <w:r>
        <w:rPr>
          <w:rFonts w:ascii="仿宋" w:eastAsia="仿宋" w:hAnsi="仿宋" w:cs="Times New Roman" w:hint="eastAsia"/>
          <w:spacing w:val="-4"/>
          <w:sz w:val="32"/>
          <w:szCs w:val="32"/>
        </w:rPr>
        <w:t>预算项目执行情况（</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分）</w:t>
      </w:r>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①项目基本情况简述</w:t>
      </w:r>
      <w:bookmarkEnd w:id="26"/>
      <w:bookmarkEnd w:id="27"/>
    </w:p>
    <w:p w:rsidR="00E156CF" w:rsidRDefault="004A2AE1">
      <w:pPr>
        <w:spacing w:line="590" w:lineRule="exact"/>
        <w:ind w:firstLineChars="200" w:firstLine="624"/>
        <w:rPr>
          <w:rFonts w:ascii="仿宋" w:eastAsia="仿宋" w:hAnsi="仿宋" w:cs="Times New Roman"/>
          <w:spacing w:val="-4"/>
          <w:sz w:val="32"/>
          <w:szCs w:val="32"/>
        </w:rPr>
      </w:pPr>
      <w:bookmarkStart w:id="32" w:name="_Toc2359"/>
      <w:r>
        <w:rPr>
          <w:rFonts w:ascii="仿宋" w:eastAsia="仿宋" w:hAnsi="仿宋" w:cs="Times New Roman" w:hint="eastAsia"/>
          <w:spacing w:val="-4"/>
          <w:sz w:val="32"/>
          <w:szCs w:val="32"/>
        </w:rPr>
        <w:lastRenderedPageBreak/>
        <w:t>全面实施预算绩效管理是推进国家治理体系和治理能力现代化的内在要求，是深化财税体制改革、建立现代财政制度的重要内容，是优化财政资源配置、提升公共服务质量的关键举措。</w:t>
      </w:r>
      <w:bookmarkEnd w:id="32"/>
      <w:r>
        <w:rPr>
          <w:rFonts w:ascii="仿宋" w:eastAsia="仿宋" w:hAnsi="仿宋" w:cs="Times New Roman" w:hint="eastAsia"/>
          <w:spacing w:val="-4"/>
          <w:sz w:val="32"/>
          <w:szCs w:val="32"/>
        </w:rPr>
        <w:t>委托第三方机构（以下统称供应商）参与预算绩效管理，是全面实施预算绩效管理的重要举措，是推动加强预算管理、提高财政资金使用效益的有效手段，因此设立青岛市黄岛区预算绩效管理服务项目。</w:t>
      </w:r>
    </w:p>
    <w:p w:rsidR="00E156CF" w:rsidRDefault="004A2AE1">
      <w:pPr>
        <w:spacing w:line="590" w:lineRule="exact"/>
        <w:ind w:firstLineChars="200" w:firstLine="624"/>
        <w:rPr>
          <w:rFonts w:ascii="仿宋" w:eastAsia="仿宋" w:hAnsi="仿宋" w:cs="Times New Roman"/>
          <w:spacing w:val="-4"/>
          <w:sz w:val="32"/>
          <w:szCs w:val="32"/>
        </w:rPr>
      </w:pPr>
      <w:bookmarkStart w:id="33" w:name="_Toc17605"/>
      <w:r>
        <w:rPr>
          <w:rFonts w:ascii="仿宋" w:eastAsia="仿宋" w:hAnsi="仿宋" w:cs="Times New Roman" w:hint="eastAsia"/>
          <w:spacing w:val="-4"/>
          <w:sz w:val="32"/>
          <w:szCs w:val="32"/>
        </w:rPr>
        <w:t>②主要内容及实施情况</w:t>
      </w:r>
      <w:bookmarkEnd w:id="33"/>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项目主管部门为青岛市黄岛区财政局，实施单位为第三方机构。</w:t>
      </w:r>
    </w:p>
    <w:p w:rsidR="00E156CF" w:rsidRDefault="004A2AE1">
      <w:pPr>
        <w:spacing w:line="590" w:lineRule="exact"/>
        <w:rPr>
          <w:rFonts w:ascii="仿宋" w:eastAsia="仿宋" w:hAnsi="仿宋" w:cs="Times New Roman"/>
          <w:spacing w:val="-4"/>
          <w:sz w:val="32"/>
          <w:szCs w:val="32"/>
        </w:rPr>
      </w:pPr>
      <w:r>
        <w:rPr>
          <w:rFonts w:ascii="仿宋" w:eastAsia="仿宋" w:hAnsi="仿宋" w:cs="Times New Roman" w:hint="eastAsia"/>
          <w:spacing w:val="-4"/>
          <w:sz w:val="32"/>
          <w:szCs w:val="32"/>
        </w:rPr>
        <w:t>青岛市黄岛区财政局</w:t>
      </w:r>
      <w:r>
        <w:rPr>
          <w:rFonts w:ascii="仿宋" w:eastAsia="仿宋" w:hAnsi="仿宋" w:cs="Times New Roman" w:hint="eastAsia"/>
          <w:spacing w:val="-4"/>
          <w:sz w:val="32"/>
          <w:szCs w:val="32"/>
        </w:rPr>
        <w:t>：负责申请项目预算，对项目整体情况负责监控监管。第三方机构：负责按预算绩效管理规定程序开展工作，主要包括前期准备、组织实施、提交披露等三个阶段。</w:t>
      </w:r>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对于相关政策和重点项目，完成事前绩效评估和绩效目标审核、绩效运行监控、绩效评价或评价结果复核、绩效指标和标准体系制定和预算绩效管理相关课题研究。</w:t>
      </w:r>
    </w:p>
    <w:p w:rsidR="00E156CF" w:rsidRDefault="004A2AE1">
      <w:pPr>
        <w:spacing w:line="590" w:lineRule="exact"/>
        <w:ind w:firstLineChars="200" w:firstLine="624"/>
        <w:rPr>
          <w:rFonts w:ascii="仿宋" w:eastAsia="仿宋" w:hAnsi="仿宋" w:cs="Times New Roman"/>
          <w:spacing w:val="-4"/>
          <w:sz w:val="32"/>
          <w:szCs w:val="32"/>
        </w:rPr>
      </w:pPr>
      <w:bookmarkStart w:id="34" w:name="_Toc24516"/>
      <w:r>
        <w:rPr>
          <w:rFonts w:ascii="仿宋" w:eastAsia="仿宋" w:hAnsi="仿宋" w:cs="Times New Roman" w:hint="eastAsia"/>
          <w:spacing w:val="-4"/>
          <w:sz w:val="32"/>
          <w:szCs w:val="32"/>
        </w:rPr>
        <w:t>③资金投入和使用情况</w:t>
      </w:r>
      <w:bookmarkEnd w:id="34"/>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青岛市黄岛区财政局</w:t>
      </w:r>
      <w:r>
        <w:rPr>
          <w:rFonts w:ascii="仿宋" w:eastAsia="仿宋" w:hAnsi="仿宋" w:cs="Times New Roman" w:hint="eastAsia"/>
          <w:spacing w:val="-4"/>
          <w:sz w:val="32"/>
          <w:szCs w:val="32"/>
        </w:rPr>
        <w:t>2023</w:t>
      </w:r>
      <w:r>
        <w:rPr>
          <w:rFonts w:ascii="仿宋" w:eastAsia="仿宋" w:hAnsi="仿宋" w:cs="Times New Roman" w:hint="eastAsia"/>
          <w:spacing w:val="-4"/>
          <w:sz w:val="32"/>
          <w:szCs w:val="32"/>
        </w:rPr>
        <w:t>年度绩效评价中介费项目预算安排为</w:t>
      </w:r>
      <w:r>
        <w:rPr>
          <w:rFonts w:ascii="仿宋" w:eastAsia="仿宋" w:hAnsi="仿宋" w:cs="Times New Roman" w:hint="eastAsia"/>
          <w:spacing w:val="-4"/>
          <w:sz w:val="32"/>
          <w:szCs w:val="32"/>
        </w:rPr>
        <w:t>351.00</w:t>
      </w:r>
      <w:r>
        <w:rPr>
          <w:rFonts w:ascii="仿宋" w:eastAsia="仿宋" w:hAnsi="仿宋" w:cs="Times New Roman" w:hint="eastAsia"/>
          <w:spacing w:val="-4"/>
          <w:sz w:val="32"/>
          <w:szCs w:val="32"/>
        </w:rPr>
        <w:t>万元，最终实际支出</w:t>
      </w:r>
      <w:r>
        <w:rPr>
          <w:rFonts w:ascii="仿宋" w:eastAsia="仿宋" w:hAnsi="仿宋" w:cs="Times New Roman" w:hint="eastAsia"/>
          <w:spacing w:val="-4"/>
          <w:sz w:val="32"/>
          <w:szCs w:val="32"/>
        </w:rPr>
        <w:t>276.81</w:t>
      </w:r>
      <w:r>
        <w:rPr>
          <w:rFonts w:ascii="仿宋" w:eastAsia="仿宋" w:hAnsi="仿宋" w:cs="Times New Roman" w:hint="eastAsia"/>
          <w:spacing w:val="-4"/>
          <w:sz w:val="32"/>
          <w:szCs w:val="32"/>
        </w:rPr>
        <w:t>万元。预算执行率为</w:t>
      </w:r>
      <w:r>
        <w:rPr>
          <w:rFonts w:ascii="仿宋" w:eastAsia="仿宋" w:hAnsi="仿宋" w:cs="Times New Roman" w:hint="eastAsia"/>
          <w:spacing w:val="-4"/>
          <w:sz w:val="32"/>
          <w:szCs w:val="32"/>
        </w:rPr>
        <w:t>78.86%</w:t>
      </w:r>
      <w:r>
        <w:rPr>
          <w:rFonts w:ascii="仿宋" w:eastAsia="仿宋" w:hAnsi="仿宋" w:cs="Times New Roman" w:hint="eastAsia"/>
          <w:spacing w:val="-4"/>
          <w:sz w:val="32"/>
          <w:szCs w:val="32"/>
        </w:rPr>
        <w:t>。</w:t>
      </w:r>
    </w:p>
    <w:p w:rsidR="00E156CF" w:rsidRDefault="004A2AE1">
      <w:pPr>
        <w:spacing w:line="590" w:lineRule="exact"/>
        <w:ind w:firstLineChars="200" w:firstLine="627"/>
        <w:rPr>
          <w:rFonts w:ascii="仿宋" w:eastAsia="仿宋" w:hAnsi="仿宋" w:cs="Times New Roman"/>
          <w:b/>
          <w:spacing w:val="-4"/>
          <w:sz w:val="32"/>
          <w:szCs w:val="32"/>
        </w:rPr>
      </w:pPr>
      <w:r>
        <w:rPr>
          <w:rFonts w:ascii="仿宋" w:eastAsia="仿宋" w:hAnsi="仿宋" w:cs="Times New Roman" w:hint="eastAsia"/>
          <w:b/>
          <w:spacing w:val="-4"/>
          <w:sz w:val="32"/>
          <w:szCs w:val="32"/>
        </w:rPr>
        <w:t>项目预算执行情况得分</w:t>
      </w:r>
      <w:r>
        <w:rPr>
          <w:rFonts w:ascii="仿宋" w:eastAsia="仿宋" w:hAnsi="仿宋" w:cs="Times New Roman" w:hint="eastAsia"/>
          <w:b/>
          <w:spacing w:val="-4"/>
          <w:sz w:val="32"/>
          <w:szCs w:val="32"/>
        </w:rPr>
        <w:t>7.89</w:t>
      </w:r>
      <w:r>
        <w:rPr>
          <w:rFonts w:ascii="仿宋" w:eastAsia="仿宋" w:hAnsi="仿宋" w:cs="Times New Roman" w:hint="eastAsia"/>
          <w:b/>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bookmarkStart w:id="35" w:name="_Toc31043"/>
      <w:bookmarkStart w:id="36" w:name="_Toc20579"/>
      <w:r>
        <w:rPr>
          <w:rFonts w:ascii="仿宋" w:eastAsia="仿宋" w:hAnsi="仿宋" w:cs="Times New Roman" w:hint="eastAsia"/>
          <w:spacing w:val="-4"/>
          <w:sz w:val="32"/>
          <w:szCs w:val="32"/>
        </w:rPr>
        <w:t xml:space="preserve">2. </w:t>
      </w:r>
      <w:r>
        <w:rPr>
          <w:rFonts w:ascii="仿宋" w:eastAsia="仿宋" w:hAnsi="仿宋" w:cs="Times New Roman" w:hint="eastAsia"/>
          <w:spacing w:val="-4"/>
          <w:sz w:val="32"/>
          <w:szCs w:val="32"/>
        </w:rPr>
        <w:t>年度绩效指标（</w:t>
      </w:r>
      <w:r>
        <w:rPr>
          <w:rFonts w:ascii="仿宋" w:eastAsia="仿宋" w:hAnsi="仿宋" w:cs="Times New Roman" w:hint="eastAsia"/>
          <w:spacing w:val="-4"/>
          <w:sz w:val="32"/>
          <w:szCs w:val="32"/>
        </w:rPr>
        <w:t>90</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①成本指标（</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预算绩效评价费率年度指标值≤</w:t>
      </w:r>
      <w:r>
        <w:rPr>
          <w:rFonts w:ascii="仿宋" w:eastAsia="仿宋" w:hAnsi="仿宋" w:cs="Times New Roman" w:hint="eastAsia"/>
          <w:spacing w:val="-4"/>
          <w:sz w:val="32"/>
          <w:szCs w:val="32"/>
        </w:rPr>
        <w:t>70%</w:t>
      </w:r>
      <w:r>
        <w:rPr>
          <w:rFonts w:ascii="仿宋" w:eastAsia="仿宋" w:hAnsi="仿宋" w:cs="Times New Roman" w:hint="eastAsia"/>
          <w:spacing w:val="-4"/>
          <w:sz w:val="32"/>
          <w:szCs w:val="32"/>
        </w:rPr>
        <w:t>，通过封闭式框架协议采</w:t>
      </w:r>
      <w:r>
        <w:rPr>
          <w:rFonts w:ascii="仿宋" w:eastAsia="仿宋" w:hAnsi="仿宋" w:cs="Times New Roman" w:hint="eastAsia"/>
          <w:spacing w:val="-4"/>
          <w:sz w:val="32"/>
          <w:szCs w:val="32"/>
        </w:rPr>
        <w:lastRenderedPageBreak/>
        <w:t>购费率实际完成值为</w:t>
      </w:r>
      <w:r>
        <w:rPr>
          <w:rFonts w:ascii="仿宋" w:eastAsia="仿宋" w:hAnsi="仿宋" w:cs="Times New Roman" w:hint="eastAsia"/>
          <w:spacing w:val="-4"/>
          <w:sz w:val="32"/>
          <w:szCs w:val="32"/>
        </w:rPr>
        <w:t>60%</w:t>
      </w:r>
      <w:r>
        <w:rPr>
          <w:rFonts w:ascii="仿宋" w:eastAsia="仿宋" w:hAnsi="仿宋" w:cs="Times New Roman" w:hint="eastAsia"/>
          <w:spacing w:val="-4"/>
          <w:sz w:val="32"/>
          <w:szCs w:val="32"/>
        </w:rPr>
        <w:t>，完成年度指标值，此项得</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②产出指标（</w:t>
      </w:r>
      <w:r>
        <w:rPr>
          <w:rFonts w:ascii="仿宋" w:eastAsia="仿宋" w:hAnsi="仿宋" w:cs="Times New Roman" w:hint="eastAsia"/>
          <w:spacing w:val="-4"/>
          <w:sz w:val="32"/>
          <w:szCs w:val="32"/>
        </w:rPr>
        <w:t>40</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数量指标</w:t>
      </w:r>
      <w:r>
        <w:rPr>
          <w:rFonts w:ascii="仿宋" w:eastAsia="仿宋" w:hAnsi="仿宋" w:cs="Times New Roman" w:hint="eastAsia"/>
          <w:spacing w:val="-4"/>
          <w:sz w:val="32"/>
          <w:szCs w:val="32"/>
        </w:rPr>
        <w:t>21</w:t>
      </w:r>
      <w:r>
        <w:rPr>
          <w:rFonts w:ascii="仿宋" w:eastAsia="仿宋" w:hAnsi="仿宋" w:cs="Times New Roman" w:hint="eastAsia"/>
          <w:spacing w:val="-4"/>
          <w:sz w:val="32"/>
          <w:szCs w:val="32"/>
        </w:rPr>
        <w:t>分。设定评价的政策、项目数量，出具绩效评价报告数量，参与评价的中介机构数量</w:t>
      </w:r>
      <w:r>
        <w:rPr>
          <w:rFonts w:ascii="仿宋" w:eastAsia="仿宋" w:hAnsi="仿宋" w:cs="Times New Roman" w:hint="eastAsia"/>
          <w:spacing w:val="-4"/>
          <w:sz w:val="32"/>
          <w:szCs w:val="32"/>
        </w:rPr>
        <w:t>3</w:t>
      </w:r>
      <w:r>
        <w:rPr>
          <w:rFonts w:ascii="仿宋" w:eastAsia="仿宋" w:hAnsi="仿宋" w:cs="Times New Roman" w:hint="eastAsia"/>
          <w:spacing w:val="-4"/>
          <w:sz w:val="32"/>
          <w:szCs w:val="32"/>
        </w:rPr>
        <w:t>个三级指标，年度指标值分别为≥</w:t>
      </w:r>
      <w:r>
        <w:rPr>
          <w:rFonts w:ascii="仿宋" w:eastAsia="仿宋" w:hAnsi="仿宋" w:cs="Times New Roman" w:hint="eastAsia"/>
          <w:spacing w:val="-4"/>
          <w:sz w:val="32"/>
          <w:szCs w:val="32"/>
        </w:rPr>
        <w:t>130</w:t>
      </w:r>
      <w:r>
        <w:rPr>
          <w:rFonts w:ascii="仿宋" w:eastAsia="仿宋" w:hAnsi="仿宋" w:cs="Times New Roman" w:hint="eastAsia"/>
          <w:spacing w:val="-4"/>
          <w:sz w:val="32"/>
          <w:szCs w:val="32"/>
        </w:rPr>
        <w:t>个、≥</w:t>
      </w:r>
      <w:r>
        <w:rPr>
          <w:rFonts w:ascii="仿宋" w:eastAsia="仿宋" w:hAnsi="仿宋" w:cs="Times New Roman" w:hint="eastAsia"/>
          <w:spacing w:val="-4"/>
          <w:sz w:val="32"/>
          <w:szCs w:val="32"/>
        </w:rPr>
        <w:t>130</w:t>
      </w:r>
      <w:r>
        <w:rPr>
          <w:rFonts w:ascii="仿宋" w:eastAsia="仿宋" w:hAnsi="仿宋" w:cs="Times New Roman" w:hint="eastAsia"/>
          <w:spacing w:val="-4"/>
          <w:sz w:val="32"/>
          <w:szCs w:val="32"/>
        </w:rPr>
        <w:t>个、≥</w:t>
      </w:r>
      <w:r>
        <w:rPr>
          <w:rFonts w:ascii="仿宋" w:eastAsia="仿宋" w:hAnsi="仿宋" w:cs="Times New Roman" w:hint="eastAsia"/>
          <w:spacing w:val="-4"/>
          <w:sz w:val="32"/>
          <w:szCs w:val="32"/>
        </w:rPr>
        <w:t>3</w:t>
      </w:r>
      <w:r>
        <w:rPr>
          <w:rFonts w:ascii="仿宋" w:eastAsia="仿宋" w:hAnsi="仿宋" w:cs="Times New Roman" w:hint="eastAsia"/>
          <w:spacing w:val="-4"/>
          <w:sz w:val="32"/>
          <w:szCs w:val="32"/>
        </w:rPr>
        <w:t>个。因工作计划变更，部分政策、项目因故未实施，实际完成指标值为</w:t>
      </w:r>
      <w:r>
        <w:rPr>
          <w:rFonts w:ascii="仿宋" w:eastAsia="仿宋" w:hAnsi="仿宋" w:cs="Times New Roman" w:hint="eastAsia"/>
          <w:spacing w:val="-4"/>
          <w:sz w:val="32"/>
          <w:szCs w:val="32"/>
        </w:rPr>
        <w:t>112</w:t>
      </w:r>
      <w:r>
        <w:rPr>
          <w:rFonts w:ascii="仿宋" w:eastAsia="仿宋" w:hAnsi="仿宋" w:cs="Times New Roman" w:hint="eastAsia"/>
          <w:spacing w:val="-4"/>
          <w:sz w:val="32"/>
          <w:szCs w:val="32"/>
        </w:rPr>
        <w:t>个、</w:t>
      </w:r>
      <w:r>
        <w:rPr>
          <w:rFonts w:ascii="仿宋" w:eastAsia="仿宋" w:hAnsi="仿宋" w:cs="Times New Roman" w:hint="eastAsia"/>
          <w:spacing w:val="-4"/>
          <w:sz w:val="32"/>
          <w:szCs w:val="32"/>
        </w:rPr>
        <w:t>112</w:t>
      </w:r>
      <w:r>
        <w:rPr>
          <w:rFonts w:ascii="仿宋" w:eastAsia="仿宋" w:hAnsi="仿宋" w:cs="Times New Roman" w:hint="eastAsia"/>
          <w:spacing w:val="-4"/>
          <w:sz w:val="32"/>
          <w:szCs w:val="32"/>
        </w:rPr>
        <w:t>个、</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个。根据评分标准，扣减评价的政策、项目数量，出具绩效评价报告数量</w:t>
      </w:r>
      <w:r>
        <w:rPr>
          <w:rFonts w:ascii="仿宋" w:eastAsia="仿宋" w:hAnsi="仿宋" w:cs="Times New Roman" w:hint="eastAsia"/>
          <w:spacing w:val="-4"/>
          <w:sz w:val="32"/>
          <w:szCs w:val="32"/>
        </w:rPr>
        <w:t>2</w:t>
      </w:r>
      <w:r>
        <w:rPr>
          <w:rFonts w:ascii="仿宋" w:eastAsia="仿宋" w:hAnsi="仿宋" w:cs="Times New Roman" w:hint="eastAsia"/>
          <w:spacing w:val="-4"/>
          <w:sz w:val="32"/>
          <w:szCs w:val="32"/>
        </w:rPr>
        <w:t>项未完成得分各</w:t>
      </w:r>
      <w:r>
        <w:rPr>
          <w:rFonts w:ascii="仿宋" w:eastAsia="仿宋" w:hAnsi="仿宋" w:cs="Times New Roman" w:hint="eastAsia"/>
          <w:spacing w:val="-4"/>
          <w:sz w:val="32"/>
          <w:szCs w:val="32"/>
        </w:rPr>
        <w:t>0.97</w:t>
      </w:r>
      <w:r>
        <w:rPr>
          <w:rFonts w:ascii="仿宋" w:eastAsia="仿宋" w:hAnsi="仿宋" w:cs="Times New Roman" w:hint="eastAsia"/>
          <w:spacing w:val="-4"/>
          <w:sz w:val="32"/>
          <w:szCs w:val="32"/>
        </w:rPr>
        <w:t>分。此项得分</w:t>
      </w:r>
      <w:r>
        <w:rPr>
          <w:rFonts w:ascii="仿宋" w:eastAsia="仿宋" w:hAnsi="仿宋" w:cs="Times New Roman" w:hint="eastAsia"/>
          <w:spacing w:val="-4"/>
          <w:sz w:val="32"/>
          <w:szCs w:val="32"/>
        </w:rPr>
        <w:t>19.06</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质量指标</w:t>
      </w:r>
      <w:r>
        <w:rPr>
          <w:rFonts w:ascii="仿宋" w:eastAsia="仿宋" w:hAnsi="仿宋" w:cs="Times New Roman" w:hint="eastAsia"/>
          <w:spacing w:val="-4"/>
          <w:sz w:val="32"/>
          <w:szCs w:val="32"/>
        </w:rPr>
        <w:t>12</w:t>
      </w:r>
      <w:r>
        <w:rPr>
          <w:rFonts w:ascii="仿宋" w:eastAsia="仿宋" w:hAnsi="仿宋" w:cs="Times New Roman" w:hint="eastAsia"/>
          <w:spacing w:val="-4"/>
          <w:sz w:val="32"/>
          <w:szCs w:val="32"/>
        </w:rPr>
        <w:t>分。设定出具报告达标率、评价后政策文件调整率</w:t>
      </w:r>
      <w:r>
        <w:rPr>
          <w:rFonts w:ascii="仿宋" w:eastAsia="仿宋" w:hAnsi="仿宋" w:cs="Times New Roman" w:hint="eastAsia"/>
          <w:spacing w:val="-4"/>
          <w:sz w:val="32"/>
          <w:szCs w:val="32"/>
        </w:rPr>
        <w:t>2</w:t>
      </w:r>
      <w:r>
        <w:rPr>
          <w:rFonts w:ascii="仿宋" w:eastAsia="仿宋" w:hAnsi="仿宋" w:cs="Times New Roman" w:hint="eastAsia"/>
          <w:spacing w:val="-4"/>
          <w:sz w:val="32"/>
          <w:szCs w:val="32"/>
        </w:rPr>
        <w:t>个三级指标，年度指标值分别为</w:t>
      </w:r>
      <w:r>
        <w:rPr>
          <w:rFonts w:ascii="仿宋" w:eastAsia="仿宋" w:hAnsi="仿宋" w:cs="Times New Roman" w:hint="eastAsia"/>
          <w:spacing w:val="-4"/>
          <w:sz w:val="32"/>
          <w:szCs w:val="32"/>
        </w:rPr>
        <w:t>=100%</w:t>
      </w:r>
      <w:r>
        <w:rPr>
          <w:rFonts w:ascii="仿宋" w:eastAsia="仿宋" w:hAnsi="仿宋" w:cs="Times New Roman" w:hint="eastAsia"/>
          <w:spacing w:val="-4"/>
          <w:sz w:val="32"/>
          <w:szCs w:val="32"/>
        </w:rPr>
        <w:t>、≥</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。实际完成指标值为</w:t>
      </w:r>
      <w:r>
        <w:rPr>
          <w:rFonts w:ascii="仿宋" w:eastAsia="仿宋" w:hAnsi="仿宋" w:cs="Times New Roman" w:hint="eastAsia"/>
          <w:spacing w:val="-4"/>
          <w:sz w:val="32"/>
          <w:szCs w:val="32"/>
        </w:rPr>
        <w:t>100%</w:t>
      </w:r>
      <w:r>
        <w:rPr>
          <w:rFonts w:ascii="仿宋" w:eastAsia="仿宋" w:hAnsi="仿宋" w:cs="Times New Roman" w:hint="eastAsia"/>
          <w:spacing w:val="-4"/>
          <w:sz w:val="32"/>
          <w:szCs w:val="32"/>
        </w:rPr>
        <w:t>、</w:t>
      </w:r>
      <w:r>
        <w:rPr>
          <w:rFonts w:ascii="仿宋" w:eastAsia="仿宋" w:hAnsi="仿宋" w:cs="Times New Roman" w:hint="eastAsia"/>
          <w:spacing w:val="-4"/>
          <w:sz w:val="32"/>
          <w:szCs w:val="32"/>
        </w:rPr>
        <w:t>26%</w:t>
      </w:r>
      <w:r>
        <w:rPr>
          <w:rFonts w:ascii="仿宋" w:eastAsia="仿宋" w:hAnsi="仿宋" w:cs="Times New Roman" w:hint="eastAsia"/>
          <w:spacing w:val="-4"/>
          <w:sz w:val="32"/>
          <w:szCs w:val="32"/>
        </w:rPr>
        <w:t>。完成年度指标值。此项得分</w:t>
      </w:r>
      <w:r>
        <w:rPr>
          <w:rFonts w:ascii="仿宋" w:eastAsia="仿宋" w:hAnsi="仿宋" w:cs="Times New Roman" w:hint="eastAsia"/>
          <w:spacing w:val="-4"/>
          <w:sz w:val="32"/>
          <w:szCs w:val="32"/>
        </w:rPr>
        <w:t>12</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时效指标</w:t>
      </w:r>
      <w:r>
        <w:rPr>
          <w:rFonts w:ascii="仿宋" w:eastAsia="仿宋" w:hAnsi="仿宋" w:cs="Times New Roman" w:hint="eastAsia"/>
          <w:spacing w:val="-4"/>
          <w:sz w:val="32"/>
          <w:szCs w:val="32"/>
        </w:rPr>
        <w:t>7</w:t>
      </w:r>
      <w:r>
        <w:rPr>
          <w:rFonts w:ascii="仿宋" w:eastAsia="仿宋" w:hAnsi="仿宋" w:cs="Times New Roman" w:hint="eastAsia"/>
          <w:spacing w:val="-4"/>
          <w:sz w:val="32"/>
          <w:szCs w:val="32"/>
        </w:rPr>
        <w:t>分。设定政策绩效评价完成时间</w:t>
      </w:r>
      <w:r>
        <w:rPr>
          <w:rFonts w:ascii="仿宋" w:eastAsia="仿宋" w:hAnsi="仿宋" w:cs="Times New Roman" w:hint="eastAsia"/>
          <w:spacing w:val="-4"/>
          <w:sz w:val="32"/>
          <w:szCs w:val="32"/>
        </w:rPr>
        <w:t>1</w:t>
      </w:r>
      <w:r>
        <w:rPr>
          <w:rFonts w:ascii="仿宋" w:eastAsia="仿宋" w:hAnsi="仿宋" w:cs="Times New Roman" w:hint="eastAsia"/>
          <w:spacing w:val="-4"/>
          <w:sz w:val="32"/>
          <w:szCs w:val="32"/>
        </w:rPr>
        <w:t>个三级指标，年度指标值为≤</w:t>
      </w:r>
      <w:r>
        <w:rPr>
          <w:rFonts w:ascii="仿宋" w:eastAsia="仿宋" w:hAnsi="仿宋" w:cs="Times New Roman" w:hint="eastAsia"/>
          <w:spacing w:val="-4"/>
          <w:sz w:val="32"/>
          <w:szCs w:val="32"/>
        </w:rPr>
        <w:t>2023</w:t>
      </w:r>
      <w:r>
        <w:rPr>
          <w:rFonts w:ascii="仿宋" w:eastAsia="仿宋" w:hAnsi="仿宋" w:cs="Times New Roman" w:hint="eastAsia"/>
          <w:spacing w:val="-4"/>
          <w:sz w:val="32"/>
          <w:szCs w:val="32"/>
        </w:rPr>
        <w:t>年</w:t>
      </w:r>
      <w:r>
        <w:rPr>
          <w:rFonts w:ascii="仿宋" w:eastAsia="仿宋" w:hAnsi="仿宋" w:cs="Times New Roman" w:hint="eastAsia"/>
          <w:spacing w:val="-4"/>
          <w:sz w:val="32"/>
          <w:szCs w:val="32"/>
        </w:rPr>
        <w:t>12</w:t>
      </w:r>
      <w:r>
        <w:rPr>
          <w:rFonts w:ascii="仿宋" w:eastAsia="仿宋" w:hAnsi="仿宋" w:cs="Times New Roman" w:hint="eastAsia"/>
          <w:spacing w:val="-4"/>
          <w:sz w:val="32"/>
          <w:szCs w:val="32"/>
        </w:rPr>
        <w:t>月</w:t>
      </w:r>
      <w:r>
        <w:rPr>
          <w:rFonts w:ascii="仿宋" w:eastAsia="仿宋" w:hAnsi="仿宋" w:cs="Times New Roman" w:hint="eastAsia"/>
          <w:spacing w:val="-4"/>
          <w:sz w:val="32"/>
          <w:szCs w:val="32"/>
        </w:rPr>
        <w:t>20</w:t>
      </w:r>
      <w:r>
        <w:rPr>
          <w:rFonts w:ascii="仿宋" w:eastAsia="仿宋" w:hAnsi="仿宋" w:cs="Times New Roman" w:hint="eastAsia"/>
          <w:spacing w:val="-4"/>
          <w:sz w:val="32"/>
          <w:szCs w:val="32"/>
        </w:rPr>
        <w:t>日。实际完成指标值为</w:t>
      </w:r>
      <w:r>
        <w:rPr>
          <w:rFonts w:ascii="仿宋" w:eastAsia="仿宋" w:hAnsi="仿宋" w:cs="Times New Roman" w:hint="eastAsia"/>
          <w:spacing w:val="-4"/>
          <w:sz w:val="32"/>
          <w:szCs w:val="32"/>
        </w:rPr>
        <w:t>2023</w:t>
      </w:r>
      <w:r>
        <w:rPr>
          <w:rFonts w:ascii="仿宋" w:eastAsia="仿宋" w:hAnsi="仿宋" w:cs="Times New Roman" w:hint="eastAsia"/>
          <w:spacing w:val="-4"/>
          <w:sz w:val="32"/>
          <w:szCs w:val="32"/>
        </w:rPr>
        <w:t>年</w:t>
      </w:r>
      <w:r>
        <w:rPr>
          <w:rFonts w:ascii="仿宋" w:eastAsia="仿宋" w:hAnsi="仿宋" w:cs="Times New Roman" w:hint="eastAsia"/>
          <w:spacing w:val="-4"/>
          <w:sz w:val="32"/>
          <w:szCs w:val="32"/>
        </w:rPr>
        <w:t>12</w:t>
      </w:r>
      <w:r>
        <w:rPr>
          <w:rFonts w:ascii="仿宋" w:eastAsia="仿宋" w:hAnsi="仿宋" w:cs="Times New Roman" w:hint="eastAsia"/>
          <w:spacing w:val="-4"/>
          <w:sz w:val="32"/>
          <w:szCs w:val="32"/>
        </w:rPr>
        <w:t>月</w:t>
      </w:r>
      <w:r>
        <w:rPr>
          <w:rFonts w:ascii="仿宋" w:eastAsia="仿宋" w:hAnsi="仿宋" w:cs="Times New Roman" w:hint="eastAsia"/>
          <w:spacing w:val="-4"/>
          <w:sz w:val="32"/>
          <w:szCs w:val="32"/>
        </w:rPr>
        <w:t>15</w:t>
      </w:r>
      <w:r>
        <w:rPr>
          <w:rFonts w:ascii="仿宋" w:eastAsia="仿宋" w:hAnsi="仿宋" w:cs="Times New Roman" w:hint="eastAsia"/>
          <w:spacing w:val="-4"/>
          <w:sz w:val="32"/>
          <w:szCs w:val="32"/>
        </w:rPr>
        <w:t>日。完成年度指标值，此项得分</w:t>
      </w:r>
      <w:r>
        <w:rPr>
          <w:rFonts w:ascii="仿宋" w:eastAsia="仿宋" w:hAnsi="仿宋" w:cs="Times New Roman" w:hint="eastAsia"/>
          <w:spacing w:val="-4"/>
          <w:sz w:val="32"/>
          <w:szCs w:val="32"/>
        </w:rPr>
        <w:t>7</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此项共得分</w:t>
      </w:r>
      <w:r>
        <w:rPr>
          <w:rFonts w:ascii="仿宋" w:eastAsia="仿宋" w:hAnsi="仿宋" w:cs="Times New Roman" w:hint="eastAsia"/>
          <w:spacing w:val="-4"/>
          <w:sz w:val="32"/>
          <w:szCs w:val="32"/>
        </w:rPr>
        <w:t>38.06</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③效益指标（</w:t>
      </w:r>
      <w:r>
        <w:rPr>
          <w:rFonts w:ascii="仿宋" w:eastAsia="仿宋" w:hAnsi="仿宋" w:cs="Times New Roman" w:hint="eastAsia"/>
          <w:spacing w:val="-4"/>
          <w:sz w:val="32"/>
          <w:szCs w:val="32"/>
        </w:rPr>
        <w:t>30</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经济效益指标</w:t>
      </w:r>
      <w:r>
        <w:rPr>
          <w:rFonts w:ascii="仿宋" w:eastAsia="仿宋" w:hAnsi="仿宋" w:cs="Times New Roman" w:hint="eastAsia"/>
          <w:spacing w:val="-4"/>
          <w:sz w:val="32"/>
          <w:szCs w:val="32"/>
        </w:rPr>
        <w:t>15</w:t>
      </w:r>
      <w:r>
        <w:rPr>
          <w:rFonts w:ascii="仿宋" w:eastAsia="仿宋" w:hAnsi="仿宋" w:cs="Times New Roman" w:hint="eastAsia"/>
          <w:spacing w:val="-4"/>
          <w:sz w:val="32"/>
          <w:szCs w:val="32"/>
        </w:rPr>
        <w:t>分。设定节约财政预算资金率</w:t>
      </w:r>
      <w:r>
        <w:rPr>
          <w:rFonts w:ascii="仿宋" w:eastAsia="仿宋" w:hAnsi="仿宋" w:cs="Times New Roman" w:hint="eastAsia"/>
          <w:spacing w:val="-4"/>
          <w:sz w:val="32"/>
          <w:szCs w:val="32"/>
        </w:rPr>
        <w:t>1</w:t>
      </w:r>
      <w:r>
        <w:rPr>
          <w:rFonts w:ascii="仿宋" w:eastAsia="仿宋" w:hAnsi="仿宋" w:cs="Times New Roman" w:hint="eastAsia"/>
          <w:spacing w:val="-4"/>
          <w:sz w:val="32"/>
          <w:szCs w:val="32"/>
        </w:rPr>
        <w:t>个三级指标，年度指标值为≥</w:t>
      </w:r>
      <w:r>
        <w:rPr>
          <w:rFonts w:ascii="仿宋" w:eastAsia="仿宋" w:hAnsi="仿宋" w:cs="Times New Roman" w:hint="eastAsia"/>
          <w:spacing w:val="-4"/>
          <w:sz w:val="32"/>
          <w:szCs w:val="32"/>
        </w:rPr>
        <w:t>5%</w:t>
      </w:r>
      <w:r>
        <w:rPr>
          <w:rFonts w:ascii="仿宋" w:eastAsia="仿宋" w:hAnsi="仿宋" w:cs="Times New Roman" w:hint="eastAsia"/>
          <w:spacing w:val="-4"/>
          <w:sz w:val="32"/>
          <w:szCs w:val="32"/>
        </w:rPr>
        <w:t>。实际完成指标值为</w:t>
      </w:r>
      <w:r>
        <w:rPr>
          <w:rFonts w:ascii="仿宋" w:eastAsia="仿宋" w:hAnsi="仿宋" w:cs="Times New Roman" w:hint="eastAsia"/>
          <w:spacing w:val="-4"/>
          <w:sz w:val="32"/>
          <w:szCs w:val="32"/>
        </w:rPr>
        <w:t>5.6%</w:t>
      </w:r>
      <w:r>
        <w:rPr>
          <w:rFonts w:ascii="仿宋" w:eastAsia="仿宋" w:hAnsi="仿宋" w:cs="Times New Roman" w:hint="eastAsia"/>
          <w:spacing w:val="-4"/>
          <w:sz w:val="32"/>
          <w:szCs w:val="32"/>
        </w:rPr>
        <w:t>。完成年度指标值，此项得分</w:t>
      </w:r>
      <w:r>
        <w:rPr>
          <w:rFonts w:ascii="仿宋" w:eastAsia="仿宋" w:hAnsi="仿宋" w:cs="Times New Roman" w:hint="eastAsia"/>
          <w:spacing w:val="-4"/>
          <w:sz w:val="32"/>
          <w:szCs w:val="32"/>
        </w:rPr>
        <w:t>15</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可持续影响指标</w:t>
      </w:r>
      <w:r>
        <w:rPr>
          <w:rFonts w:ascii="仿宋" w:eastAsia="仿宋" w:hAnsi="仿宋" w:cs="Times New Roman" w:hint="eastAsia"/>
          <w:spacing w:val="-4"/>
          <w:sz w:val="32"/>
          <w:szCs w:val="32"/>
        </w:rPr>
        <w:t>15</w:t>
      </w:r>
      <w:r>
        <w:rPr>
          <w:rFonts w:ascii="仿宋" w:eastAsia="仿宋" w:hAnsi="仿宋" w:cs="Times New Roman" w:hint="eastAsia"/>
          <w:spacing w:val="-4"/>
          <w:sz w:val="32"/>
          <w:szCs w:val="32"/>
        </w:rPr>
        <w:t>分。设定政策有效性及财政资金配置合理性</w:t>
      </w:r>
      <w:r>
        <w:rPr>
          <w:rFonts w:ascii="仿宋" w:eastAsia="仿宋" w:hAnsi="仿宋" w:cs="Times New Roman" w:hint="eastAsia"/>
          <w:spacing w:val="-4"/>
          <w:sz w:val="32"/>
          <w:szCs w:val="32"/>
        </w:rPr>
        <w:t>1</w:t>
      </w:r>
      <w:r>
        <w:rPr>
          <w:rFonts w:ascii="仿宋" w:eastAsia="仿宋" w:hAnsi="仿宋" w:cs="Times New Roman" w:hint="eastAsia"/>
          <w:spacing w:val="-4"/>
          <w:sz w:val="32"/>
          <w:szCs w:val="32"/>
        </w:rPr>
        <w:t>个三级指标，年度指标值为有所提升。通过项目的实施政策有</w:t>
      </w:r>
      <w:r>
        <w:rPr>
          <w:rFonts w:ascii="仿宋" w:eastAsia="仿宋" w:hAnsi="仿宋" w:cs="Times New Roman" w:hint="eastAsia"/>
          <w:spacing w:val="-4"/>
          <w:sz w:val="32"/>
          <w:szCs w:val="32"/>
        </w:rPr>
        <w:lastRenderedPageBreak/>
        <w:t>效性及财政资金配置合理性相比科学性、合理性、有效性均有所提升。完成年度指标值，此项得分</w:t>
      </w:r>
      <w:r>
        <w:rPr>
          <w:rFonts w:ascii="仿宋" w:eastAsia="仿宋" w:hAnsi="仿宋" w:cs="Times New Roman" w:hint="eastAsia"/>
          <w:spacing w:val="-4"/>
          <w:sz w:val="32"/>
          <w:szCs w:val="32"/>
        </w:rPr>
        <w:t>15</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此项共得分</w:t>
      </w:r>
      <w:r>
        <w:rPr>
          <w:rFonts w:ascii="仿宋" w:eastAsia="仿宋" w:hAnsi="仿宋" w:cs="Times New Roman" w:hint="eastAsia"/>
          <w:spacing w:val="-4"/>
          <w:sz w:val="32"/>
          <w:szCs w:val="32"/>
        </w:rPr>
        <w:t>30</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④满意度指标（</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分）</w:t>
      </w:r>
    </w:p>
    <w:p w:rsidR="00E156CF" w:rsidRDefault="004A2AE1">
      <w:pPr>
        <w:spacing w:line="590" w:lineRule="exact"/>
        <w:ind w:firstLineChars="200" w:firstLine="624"/>
        <w:outlineLvl w:val="1"/>
        <w:rPr>
          <w:rFonts w:ascii="仿宋" w:eastAsia="仿宋" w:hAnsi="仿宋" w:cs="Times New Roman"/>
          <w:spacing w:val="-4"/>
          <w:sz w:val="32"/>
          <w:szCs w:val="32"/>
        </w:rPr>
      </w:pPr>
      <w:r>
        <w:rPr>
          <w:rFonts w:ascii="仿宋" w:eastAsia="仿宋" w:hAnsi="仿宋" w:cs="Times New Roman" w:hint="eastAsia"/>
          <w:spacing w:val="-4"/>
          <w:sz w:val="32"/>
          <w:szCs w:val="32"/>
        </w:rPr>
        <w:t>服务对象满意度指标</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分。设定相关政策受益者满意度</w:t>
      </w:r>
      <w:r>
        <w:rPr>
          <w:rFonts w:ascii="仿宋" w:eastAsia="仿宋" w:hAnsi="仿宋" w:cs="Times New Roman" w:hint="eastAsia"/>
          <w:spacing w:val="-4"/>
          <w:sz w:val="32"/>
          <w:szCs w:val="32"/>
        </w:rPr>
        <w:t>1</w:t>
      </w:r>
      <w:r>
        <w:rPr>
          <w:rFonts w:ascii="仿宋" w:eastAsia="仿宋" w:hAnsi="仿宋" w:cs="Times New Roman" w:hint="eastAsia"/>
          <w:spacing w:val="-4"/>
          <w:sz w:val="32"/>
          <w:szCs w:val="32"/>
        </w:rPr>
        <w:t>个三级指标，年度指标值为≥</w:t>
      </w:r>
      <w:r>
        <w:rPr>
          <w:rFonts w:ascii="仿宋" w:eastAsia="仿宋" w:hAnsi="仿宋" w:cs="Times New Roman" w:hint="eastAsia"/>
          <w:spacing w:val="-4"/>
          <w:sz w:val="32"/>
          <w:szCs w:val="32"/>
        </w:rPr>
        <w:t>90%</w:t>
      </w:r>
      <w:r>
        <w:rPr>
          <w:rFonts w:ascii="仿宋" w:eastAsia="仿宋" w:hAnsi="仿宋" w:cs="Times New Roman" w:hint="eastAsia"/>
          <w:spacing w:val="-4"/>
          <w:sz w:val="32"/>
          <w:szCs w:val="32"/>
        </w:rPr>
        <w:t>。实际完成指标值为</w:t>
      </w:r>
      <w:r>
        <w:rPr>
          <w:rFonts w:ascii="仿宋" w:eastAsia="仿宋" w:hAnsi="仿宋" w:cs="Times New Roman" w:hint="eastAsia"/>
          <w:spacing w:val="-4"/>
          <w:sz w:val="32"/>
          <w:szCs w:val="32"/>
        </w:rPr>
        <w:t>92%</w:t>
      </w:r>
      <w:r>
        <w:rPr>
          <w:rFonts w:ascii="仿宋" w:eastAsia="仿宋" w:hAnsi="仿宋" w:cs="Times New Roman" w:hint="eastAsia"/>
          <w:spacing w:val="-4"/>
          <w:sz w:val="32"/>
          <w:szCs w:val="32"/>
        </w:rPr>
        <w:t>。完成年度指标值，此项得分</w:t>
      </w:r>
      <w:r>
        <w:rPr>
          <w:rFonts w:ascii="仿宋" w:eastAsia="仿宋" w:hAnsi="仿宋" w:cs="Times New Roman" w:hint="eastAsia"/>
          <w:spacing w:val="-4"/>
          <w:sz w:val="32"/>
          <w:szCs w:val="32"/>
        </w:rPr>
        <w:t>10</w:t>
      </w:r>
      <w:r>
        <w:rPr>
          <w:rFonts w:ascii="仿宋" w:eastAsia="仿宋" w:hAnsi="仿宋" w:cs="Times New Roman" w:hint="eastAsia"/>
          <w:spacing w:val="-4"/>
          <w:sz w:val="32"/>
          <w:szCs w:val="32"/>
        </w:rPr>
        <w:t>分。</w:t>
      </w:r>
    </w:p>
    <w:p w:rsidR="00E156CF" w:rsidRDefault="004A2AE1">
      <w:pPr>
        <w:spacing w:line="590" w:lineRule="exact"/>
        <w:ind w:firstLineChars="200" w:firstLine="627"/>
        <w:outlineLvl w:val="1"/>
        <w:rPr>
          <w:rFonts w:ascii="仿宋" w:eastAsia="仿宋" w:hAnsi="仿宋" w:cs="Times New Roman"/>
          <w:b/>
          <w:spacing w:val="-4"/>
          <w:sz w:val="32"/>
          <w:szCs w:val="32"/>
        </w:rPr>
      </w:pPr>
      <w:r>
        <w:rPr>
          <w:rFonts w:ascii="仿宋" w:eastAsia="仿宋" w:hAnsi="仿宋" w:cs="Times New Roman" w:hint="eastAsia"/>
          <w:b/>
          <w:spacing w:val="-4"/>
          <w:sz w:val="32"/>
          <w:szCs w:val="32"/>
        </w:rPr>
        <w:t>年度绩效指标共得分</w:t>
      </w:r>
      <w:r>
        <w:rPr>
          <w:rFonts w:ascii="仿宋" w:eastAsia="仿宋" w:hAnsi="仿宋" w:cs="Times New Roman" w:hint="eastAsia"/>
          <w:b/>
          <w:spacing w:val="-4"/>
          <w:sz w:val="32"/>
          <w:szCs w:val="32"/>
        </w:rPr>
        <w:t>88.06</w:t>
      </w:r>
      <w:r>
        <w:rPr>
          <w:rFonts w:ascii="仿宋" w:eastAsia="仿宋" w:hAnsi="仿宋" w:cs="Times New Roman" w:hint="eastAsia"/>
          <w:b/>
          <w:spacing w:val="-4"/>
          <w:sz w:val="32"/>
          <w:szCs w:val="32"/>
        </w:rPr>
        <w:t>分。</w:t>
      </w:r>
    </w:p>
    <w:bookmarkEnd w:id="35"/>
    <w:bookmarkEnd w:id="36"/>
    <w:p w:rsidR="00E156CF" w:rsidRDefault="004A2AE1">
      <w:pPr>
        <w:autoSpaceDE w:val="0"/>
        <w:autoSpaceDN w:val="0"/>
        <w:adjustRightInd w:val="0"/>
        <w:spacing w:line="580" w:lineRule="exact"/>
        <w:ind w:firstLineChars="200" w:firstLine="624"/>
        <w:jc w:val="left"/>
        <w:outlineLvl w:val="1"/>
        <w:rPr>
          <w:rFonts w:ascii="楷体_GB2312" w:eastAsia="楷体_GB2312" w:hAnsi="楷体_GB2312" w:cs="楷体_GB2312"/>
          <w:spacing w:val="-4"/>
          <w:sz w:val="32"/>
          <w:szCs w:val="32"/>
        </w:rPr>
      </w:pPr>
      <w:r>
        <w:rPr>
          <w:rFonts w:ascii="楷体_GB2312" w:eastAsia="楷体_GB2312" w:hAnsi="楷体_GB2312" w:cs="楷体_GB2312" w:hint="eastAsia"/>
          <w:spacing w:val="-4"/>
          <w:sz w:val="32"/>
          <w:szCs w:val="32"/>
        </w:rPr>
        <w:t>（二）主要成效</w:t>
      </w:r>
      <w:bookmarkEnd w:id="28"/>
      <w:bookmarkEnd w:id="29"/>
      <w:bookmarkEnd w:id="30"/>
      <w:bookmarkEnd w:id="31"/>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通过单位对实施项目进行绩效自评，积极参与预算绩效管理，是全面实施</w:t>
      </w:r>
      <w:r>
        <w:rPr>
          <w:rFonts w:ascii="仿宋" w:eastAsia="仿宋" w:hAnsi="仿宋" w:cs="Times New Roman" w:hint="eastAsia"/>
          <w:spacing w:val="-4"/>
          <w:sz w:val="32"/>
          <w:szCs w:val="32"/>
        </w:rPr>
        <w:t>预算绩效管理的重要举措，是推动加强预算管理、提高财政资金使用效益的有效手段。</w:t>
      </w:r>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项目支出绩效目标管理全覆盖，将绩效目标作为预算执行和绩效评价的依据；逐步扩大绩效监控和评价范围，强化结果应用机制。</w:t>
      </w:r>
    </w:p>
    <w:p w:rsidR="00E156CF" w:rsidRDefault="004A2AE1">
      <w:pPr>
        <w:spacing w:line="580" w:lineRule="exact"/>
        <w:ind w:firstLineChars="200" w:firstLine="640"/>
        <w:outlineLvl w:val="0"/>
        <w:rPr>
          <w:rFonts w:ascii="黑体" w:eastAsia="黑体" w:hAnsi="黑体" w:cs="黑体"/>
          <w:sz w:val="32"/>
          <w:szCs w:val="32"/>
        </w:rPr>
      </w:pPr>
      <w:bookmarkStart w:id="37" w:name="_Toc5430"/>
      <w:bookmarkStart w:id="38" w:name="_Toc23295"/>
      <w:bookmarkStart w:id="39" w:name="_Toc19161"/>
      <w:bookmarkStart w:id="40" w:name="_Toc16284"/>
      <w:r>
        <w:rPr>
          <w:rFonts w:ascii="黑体" w:eastAsia="黑体" w:hAnsi="黑体" w:cs="黑体" w:hint="eastAsia"/>
          <w:sz w:val="32"/>
          <w:szCs w:val="32"/>
        </w:rPr>
        <w:t>三、绩效自评抽查复核情况</w:t>
      </w:r>
      <w:bookmarkEnd w:id="37"/>
      <w:bookmarkEnd w:id="38"/>
      <w:bookmarkEnd w:id="39"/>
      <w:bookmarkEnd w:id="40"/>
    </w:p>
    <w:p w:rsidR="00E156CF" w:rsidRDefault="004A2AE1">
      <w:pPr>
        <w:tabs>
          <w:tab w:val="left" w:pos="7230"/>
          <w:tab w:val="left" w:pos="7938"/>
        </w:tabs>
        <w:ind w:firstLineChars="200" w:firstLine="640"/>
        <w:jc w:val="left"/>
        <w:outlineLvl w:val="1"/>
        <w:rPr>
          <w:rFonts w:ascii="楷体_GB2312" w:eastAsia="楷体_GB2312" w:hAnsi="楷体_GB2312" w:cs="楷体_GB2312"/>
          <w:bCs/>
          <w:spacing w:val="-4"/>
          <w:sz w:val="32"/>
          <w:szCs w:val="32"/>
        </w:rPr>
      </w:pPr>
      <w:bookmarkStart w:id="41" w:name="_Toc20219"/>
      <w:bookmarkStart w:id="42" w:name="_Toc13544"/>
      <w:bookmarkStart w:id="43" w:name="_Toc23965"/>
      <w:bookmarkStart w:id="44" w:name="_Toc31627"/>
      <w:r>
        <w:rPr>
          <w:rFonts w:ascii="楷体_GB2312" w:eastAsia="楷体_GB2312" w:hAnsi="楷体_GB2312" w:cs="楷体_GB2312" w:hint="eastAsia"/>
          <w:sz w:val="32"/>
          <w:szCs w:val="32"/>
        </w:rPr>
        <w:t>（一）自评和抽查复核评分结果差异率分析</w:t>
      </w:r>
      <w:bookmarkEnd w:id="41"/>
      <w:bookmarkEnd w:id="42"/>
      <w:bookmarkEnd w:id="43"/>
      <w:bookmarkEnd w:id="44"/>
    </w:p>
    <w:p w:rsidR="00E156CF" w:rsidRDefault="004A2AE1">
      <w:pPr>
        <w:tabs>
          <w:tab w:val="left" w:pos="7230"/>
          <w:tab w:val="left" w:pos="7938"/>
        </w:tabs>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差异率整体情况</w:t>
      </w:r>
    </w:p>
    <w:p w:rsidR="00E156CF" w:rsidRDefault="004A2AE1">
      <w:pPr>
        <w:spacing w:line="580" w:lineRule="exact"/>
        <w:ind w:firstLineChars="200" w:firstLine="624"/>
        <w:rPr>
          <w:rFonts w:ascii="仿宋_GB2312" w:eastAsia="仿宋_GB2312" w:hAnsi="楷体_GB2312" w:cs="楷体_GB2312"/>
          <w:spacing w:val="-4"/>
          <w:sz w:val="32"/>
          <w:szCs w:val="32"/>
        </w:rPr>
      </w:pPr>
      <w:r>
        <w:rPr>
          <w:rFonts w:ascii="仿宋_GB2312" w:eastAsia="仿宋_GB2312" w:hAnsi="楷体_GB2312" w:cs="楷体_GB2312" w:hint="eastAsia"/>
          <w:spacing w:val="-4"/>
          <w:sz w:val="32"/>
          <w:szCs w:val="32"/>
        </w:rPr>
        <w:t>自评得</w:t>
      </w:r>
      <w:r>
        <w:rPr>
          <w:rFonts w:ascii="仿宋_GB2312" w:eastAsia="仿宋_GB2312" w:hAnsi="楷体_GB2312" w:cs="楷体_GB2312" w:hint="eastAsia"/>
          <w:spacing w:val="-4"/>
          <w:sz w:val="32"/>
          <w:szCs w:val="32"/>
        </w:rPr>
        <w:t>95.95</w:t>
      </w:r>
      <w:r>
        <w:rPr>
          <w:rFonts w:ascii="仿宋_GB2312" w:eastAsia="仿宋_GB2312" w:hAnsi="楷体_GB2312" w:cs="楷体_GB2312" w:hint="eastAsia"/>
          <w:spacing w:val="-4"/>
          <w:sz w:val="32"/>
          <w:szCs w:val="32"/>
        </w:rPr>
        <w:t>分，复核得</w:t>
      </w:r>
      <w:r>
        <w:rPr>
          <w:rFonts w:ascii="仿宋_GB2312" w:eastAsia="仿宋_GB2312" w:hAnsi="楷体_GB2312" w:cs="楷体_GB2312" w:hint="eastAsia"/>
          <w:spacing w:val="-4"/>
          <w:sz w:val="32"/>
          <w:szCs w:val="32"/>
        </w:rPr>
        <w:t>95.51</w:t>
      </w:r>
      <w:r>
        <w:rPr>
          <w:rFonts w:ascii="仿宋_GB2312" w:eastAsia="仿宋_GB2312" w:hAnsi="楷体_GB2312" w:cs="楷体_GB2312" w:hint="eastAsia"/>
          <w:spacing w:val="-4"/>
          <w:sz w:val="32"/>
          <w:szCs w:val="32"/>
        </w:rPr>
        <w:t>分，差异值</w:t>
      </w:r>
      <w:r>
        <w:rPr>
          <w:rFonts w:ascii="仿宋_GB2312" w:eastAsia="仿宋_GB2312" w:hAnsi="楷体_GB2312" w:cs="楷体_GB2312" w:hint="eastAsia"/>
          <w:spacing w:val="-4"/>
          <w:sz w:val="32"/>
          <w:szCs w:val="32"/>
        </w:rPr>
        <w:t>0.44</w:t>
      </w:r>
      <w:r>
        <w:rPr>
          <w:rFonts w:ascii="仿宋_GB2312" w:eastAsia="仿宋_GB2312" w:hAnsi="楷体_GB2312" w:cs="楷体_GB2312" w:hint="eastAsia"/>
          <w:spacing w:val="-4"/>
          <w:sz w:val="32"/>
          <w:szCs w:val="32"/>
        </w:rPr>
        <w:t>分，差异率</w:t>
      </w:r>
      <w:r>
        <w:rPr>
          <w:rFonts w:ascii="仿宋_GB2312" w:eastAsia="仿宋_GB2312" w:hAnsi="楷体_GB2312" w:cs="楷体_GB2312" w:hint="eastAsia"/>
          <w:spacing w:val="-4"/>
          <w:sz w:val="32"/>
          <w:szCs w:val="32"/>
        </w:rPr>
        <w:t>0.05%</w:t>
      </w:r>
      <w:r>
        <w:rPr>
          <w:rFonts w:ascii="仿宋_GB2312" w:eastAsia="仿宋_GB2312" w:hAnsi="楷体_GB2312" w:cs="楷体_GB2312" w:hint="eastAsia"/>
          <w:spacing w:val="-4"/>
          <w:sz w:val="32"/>
          <w:szCs w:val="32"/>
        </w:rPr>
        <w:t>，差异个数占自评项目总数比重</w:t>
      </w:r>
      <w:r>
        <w:rPr>
          <w:rFonts w:ascii="仿宋_GB2312" w:eastAsia="仿宋_GB2312" w:hAnsi="楷体_GB2312" w:cs="楷体_GB2312" w:hint="eastAsia"/>
          <w:spacing w:val="-4"/>
          <w:sz w:val="32"/>
          <w:szCs w:val="32"/>
        </w:rPr>
        <w:t>20%</w:t>
      </w:r>
      <w:r>
        <w:rPr>
          <w:rFonts w:ascii="仿宋_GB2312" w:eastAsia="仿宋_GB2312" w:hAnsi="楷体_GB2312" w:cs="楷体_GB2312" w:hint="eastAsia"/>
          <w:spacing w:val="-4"/>
          <w:sz w:val="32"/>
          <w:szCs w:val="32"/>
        </w:rPr>
        <w:t>，主要为产出指标</w:t>
      </w:r>
      <w:r>
        <w:rPr>
          <w:rFonts w:ascii="仿宋_GB2312" w:eastAsia="仿宋_GB2312" w:hAnsi="楷体_GB2312" w:cs="楷体_GB2312" w:hint="eastAsia"/>
          <w:spacing w:val="-4"/>
          <w:sz w:val="32"/>
          <w:szCs w:val="32"/>
        </w:rPr>
        <w:t>-</w:t>
      </w:r>
      <w:r>
        <w:rPr>
          <w:rFonts w:ascii="仿宋_GB2312" w:eastAsia="仿宋_GB2312" w:hAnsi="楷体_GB2312" w:cs="楷体_GB2312" w:hint="eastAsia"/>
          <w:spacing w:val="-4"/>
          <w:sz w:val="32"/>
          <w:szCs w:val="32"/>
        </w:rPr>
        <w:t>数量指标中评价的政策、项目数量，出具绩效评价报告数量。</w:t>
      </w:r>
    </w:p>
    <w:p w:rsidR="00E156CF" w:rsidRDefault="004A2AE1">
      <w:pPr>
        <w:tabs>
          <w:tab w:val="left" w:pos="7230"/>
          <w:tab w:val="left" w:pos="7938"/>
        </w:tabs>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差异率主要原因</w:t>
      </w:r>
    </w:p>
    <w:p w:rsidR="00E156CF" w:rsidRDefault="004A2AE1">
      <w:pPr>
        <w:spacing w:line="580" w:lineRule="exact"/>
        <w:ind w:firstLineChars="200" w:firstLine="624"/>
        <w:rPr>
          <w:rFonts w:ascii="仿宋_GB2312" w:eastAsia="仿宋_GB2312" w:hAnsi="楷体_GB2312" w:cs="楷体_GB2312"/>
          <w:spacing w:val="-4"/>
          <w:sz w:val="32"/>
          <w:szCs w:val="32"/>
        </w:rPr>
      </w:pPr>
      <w:bookmarkStart w:id="45" w:name="_Toc10063"/>
      <w:r>
        <w:rPr>
          <w:rFonts w:ascii="仿宋_GB2312" w:eastAsia="仿宋_GB2312" w:hAnsi="楷体_GB2312" w:cs="楷体_GB2312" w:hint="eastAsia"/>
          <w:spacing w:val="-4"/>
          <w:sz w:val="32"/>
          <w:szCs w:val="32"/>
        </w:rPr>
        <w:lastRenderedPageBreak/>
        <w:t>产出指标</w:t>
      </w:r>
      <w:r>
        <w:rPr>
          <w:rFonts w:ascii="仿宋_GB2312" w:eastAsia="仿宋_GB2312" w:hAnsi="楷体_GB2312" w:cs="楷体_GB2312" w:hint="eastAsia"/>
          <w:spacing w:val="-4"/>
          <w:sz w:val="32"/>
          <w:szCs w:val="32"/>
        </w:rPr>
        <w:t>-</w:t>
      </w:r>
      <w:r>
        <w:rPr>
          <w:rFonts w:ascii="仿宋_GB2312" w:eastAsia="仿宋_GB2312" w:hAnsi="楷体_GB2312" w:cs="楷体_GB2312" w:hint="eastAsia"/>
          <w:spacing w:val="-4"/>
          <w:sz w:val="32"/>
          <w:szCs w:val="32"/>
        </w:rPr>
        <w:t>数量指标中评价的政策、项目数量，出具绩效评价报告数量两项年度指标值为≥</w:t>
      </w:r>
      <w:r>
        <w:rPr>
          <w:rFonts w:ascii="仿宋_GB2312" w:eastAsia="仿宋_GB2312" w:hAnsi="楷体_GB2312" w:cs="楷体_GB2312" w:hint="eastAsia"/>
          <w:spacing w:val="-4"/>
          <w:sz w:val="32"/>
          <w:szCs w:val="32"/>
        </w:rPr>
        <w:t>130</w:t>
      </w:r>
      <w:r>
        <w:rPr>
          <w:rFonts w:ascii="仿宋_GB2312" w:eastAsia="仿宋_GB2312" w:hAnsi="楷体_GB2312" w:cs="楷体_GB2312" w:hint="eastAsia"/>
          <w:spacing w:val="-4"/>
          <w:sz w:val="32"/>
          <w:szCs w:val="32"/>
        </w:rPr>
        <w:t>个，实际完成值为</w:t>
      </w:r>
      <w:r>
        <w:rPr>
          <w:rFonts w:ascii="仿宋_GB2312" w:eastAsia="仿宋_GB2312" w:hAnsi="楷体_GB2312" w:cs="楷体_GB2312" w:hint="eastAsia"/>
          <w:spacing w:val="-4"/>
          <w:sz w:val="32"/>
          <w:szCs w:val="32"/>
        </w:rPr>
        <w:t>112</w:t>
      </w:r>
      <w:r>
        <w:rPr>
          <w:rFonts w:ascii="仿宋_GB2312" w:eastAsia="仿宋_GB2312" w:hAnsi="楷体_GB2312" w:cs="楷体_GB2312" w:hint="eastAsia"/>
          <w:spacing w:val="-4"/>
          <w:sz w:val="32"/>
          <w:szCs w:val="32"/>
        </w:rPr>
        <w:t>个，复核后实际完成值为</w:t>
      </w:r>
      <w:r>
        <w:rPr>
          <w:rFonts w:ascii="仿宋_GB2312" w:eastAsia="仿宋_GB2312" w:hAnsi="楷体_GB2312" w:cs="楷体_GB2312" w:hint="eastAsia"/>
          <w:spacing w:val="-4"/>
          <w:sz w:val="32"/>
          <w:szCs w:val="32"/>
        </w:rPr>
        <w:t>108</w:t>
      </w:r>
      <w:r>
        <w:rPr>
          <w:rFonts w:ascii="仿宋_GB2312" w:eastAsia="仿宋_GB2312" w:hAnsi="楷体_GB2312" w:cs="楷体_GB2312" w:hint="eastAsia"/>
          <w:spacing w:val="-4"/>
          <w:sz w:val="32"/>
          <w:szCs w:val="32"/>
        </w:rPr>
        <w:t>个，主要原因为当年度内已完成</w:t>
      </w:r>
      <w:r>
        <w:rPr>
          <w:rFonts w:ascii="仿宋_GB2312" w:eastAsia="仿宋_GB2312" w:hAnsi="楷体_GB2312" w:cs="楷体_GB2312" w:hint="eastAsia"/>
          <w:spacing w:val="-4"/>
          <w:sz w:val="32"/>
          <w:szCs w:val="32"/>
        </w:rPr>
        <w:t>112</w:t>
      </w:r>
      <w:r>
        <w:rPr>
          <w:rFonts w:ascii="仿宋_GB2312" w:eastAsia="仿宋_GB2312" w:hAnsi="楷体_GB2312" w:cs="楷体_GB2312" w:hint="eastAsia"/>
          <w:spacing w:val="-4"/>
          <w:sz w:val="32"/>
          <w:szCs w:val="32"/>
        </w:rPr>
        <w:t>个，因未完成资金支付，未及时出具绩效评价报告。</w:t>
      </w:r>
    </w:p>
    <w:p w:rsidR="00E156CF" w:rsidRDefault="004A2AE1">
      <w:pPr>
        <w:tabs>
          <w:tab w:val="left" w:pos="7230"/>
          <w:tab w:val="left" w:pos="7938"/>
        </w:tabs>
        <w:ind w:firstLineChars="200" w:firstLine="640"/>
        <w:jc w:val="left"/>
        <w:outlineLvl w:val="1"/>
        <w:rPr>
          <w:rFonts w:ascii="楷体_GB2312" w:eastAsia="楷体_GB2312" w:hAnsi="楷体_GB2312" w:cs="楷体_GB2312"/>
          <w:sz w:val="32"/>
          <w:szCs w:val="32"/>
        </w:rPr>
      </w:pPr>
      <w:r>
        <w:rPr>
          <w:rFonts w:ascii="楷体_GB2312" w:eastAsia="楷体_GB2312" w:hAnsi="楷体_GB2312" w:cs="楷体_GB2312" w:hint="eastAsia"/>
          <w:sz w:val="32"/>
          <w:szCs w:val="32"/>
        </w:rPr>
        <w:t>（二）抽查复核发现的问题</w:t>
      </w:r>
      <w:bookmarkEnd w:id="45"/>
    </w:p>
    <w:p w:rsidR="00E156CF" w:rsidRDefault="004A2AE1">
      <w:pPr>
        <w:spacing w:line="590" w:lineRule="exact"/>
        <w:ind w:firstLineChars="200" w:firstLine="624"/>
        <w:rPr>
          <w:rFonts w:ascii="仿宋" w:eastAsia="仿宋" w:hAnsi="仿宋" w:cs="Times New Roman"/>
          <w:spacing w:val="-4"/>
          <w:sz w:val="32"/>
          <w:szCs w:val="32"/>
        </w:rPr>
      </w:pPr>
      <w:bookmarkStart w:id="46" w:name="_Toc23144"/>
      <w:bookmarkStart w:id="47" w:name="_Toc10337"/>
      <w:bookmarkStart w:id="48" w:name="_Toc19466"/>
      <w:bookmarkStart w:id="49" w:name="_Toc23943"/>
      <w:r>
        <w:rPr>
          <w:rFonts w:ascii="仿宋" w:eastAsia="仿宋" w:hAnsi="仿宋" w:cs="Times New Roman" w:hint="eastAsia"/>
          <w:spacing w:val="-4"/>
          <w:sz w:val="32"/>
          <w:szCs w:val="32"/>
        </w:rPr>
        <w:t>1.</w:t>
      </w:r>
      <w:r>
        <w:rPr>
          <w:rFonts w:ascii="仿宋" w:eastAsia="仿宋" w:hAnsi="仿宋" w:cs="Times New Roman" w:hint="eastAsia"/>
          <w:spacing w:val="-4"/>
          <w:sz w:val="32"/>
          <w:szCs w:val="32"/>
        </w:rPr>
        <w:t>审计报告质量有待提高</w:t>
      </w:r>
      <w:r w:rsidR="00DA55EC">
        <w:rPr>
          <w:rFonts w:ascii="仿宋" w:eastAsia="仿宋" w:hAnsi="仿宋" w:cs="Times New Roman" w:hint="eastAsia"/>
          <w:spacing w:val="-4"/>
          <w:sz w:val="32"/>
          <w:szCs w:val="32"/>
        </w:rPr>
        <w:t>。</w:t>
      </w:r>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2.</w:t>
      </w:r>
      <w:r>
        <w:rPr>
          <w:rFonts w:ascii="仿宋" w:eastAsia="仿宋" w:hAnsi="仿宋" w:cs="Times New Roman" w:hint="eastAsia"/>
          <w:spacing w:val="-4"/>
          <w:sz w:val="32"/>
          <w:szCs w:val="32"/>
        </w:rPr>
        <w:t>查看项目资料，第三方机构均按照合同要求及时出具预算绩效评价报告，但已出具的绩效评价报告中存在评价不够准确、问题表述简单堆砌、问题建议不够明确等问题，报告质量有待进一步提升。</w:t>
      </w:r>
    </w:p>
    <w:p w:rsidR="00E156CF" w:rsidRDefault="004A2AE1">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四、意见建议</w:t>
      </w:r>
      <w:bookmarkEnd w:id="46"/>
      <w:bookmarkEnd w:id="47"/>
      <w:bookmarkEnd w:id="48"/>
      <w:bookmarkEnd w:id="49"/>
    </w:p>
    <w:p w:rsidR="00E156CF" w:rsidRDefault="004A2AE1">
      <w:pPr>
        <w:spacing w:line="59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1.</w:t>
      </w:r>
      <w:r>
        <w:rPr>
          <w:rFonts w:ascii="仿宋" w:eastAsia="仿宋" w:hAnsi="仿宋" w:cs="Times New Roman" w:hint="eastAsia"/>
          <w:spacing w:val="-4"/>
          <w:sz w:val="32"/>
          <w:szCs w:val="32"/>
        </w:rPr>
        <w:t>增强审计结果的沟通与反馈</w:t>
      </w:r>
      <w:r w:rsidR="008D6AF1">
        <w:rPr>
          <w:rFonts w:ascii="仿宋" w:eastAsia="仿宋" w:hAnsi="仿宋" w:cs="Times New Roman" w:hint="eastAsia"/>
          <w:spacing w:val="-4"/>
          <w:sz w:val="32"/>
          <w:szCs w:val="32"/>
        </w:rPr>
        <w:t>。</w:t>
      </w:r>
    </w:p>
    <w:p w:rsidR="00E156CF" w:rsidRDefault="004A2AE1">
      <w:pPr>
        <w:spacing w:line="580" w:lineRule="exact"/>
        <w:ind w:firstLineChars="200" w:firstLine="624"/>
        <w:rPr>
          <w:rFonts w:ascii="仿宋" w:eastAsia="仿宋" w:hAnsi="仿宋" w:cs="Times New Roman"/>
          <w:spacing w:val="-4"/>
          <w:sz w:val="32"/>
          <w:szCs w:val="32"/>
        </w:rPr>
      </w:pPr>
      <w:r>
        <w:rPr>
          <w:rFonts w:ascii="仿宋" w:eastAsia="仿宋" w:hAnsi="仿宋" w:cs="Times New Roman" w:hint="eastAsia"/>
          <w:spacing w:val="-4"/>
          <w:sz w:val="32"/>
          <w:szCs w:val="32"/>
        </w:rPr>
        <w:t>2.</w:t>
      </w:r>
      <w:r>
        <w:rPr>
          <w:rFonts w:ascii="仿宋" w:eastAsia="仿宋" w:hAnsi="仿宋" w:cs="Times New Roman" w:hint="eastAsia"/>
          <w:spacing w:val="-4"/>
          <w:sz w:val="32"/>
          <w:szCs w:val="32"/>
        </w:rPr>
        <w:t>建议区财政局对于报告中存在的文字错误和描述不全等问题，可以向出具报告的第三方机构退回报告并要求修改，在退回报告时，可以提供具体的修改要求，以便第三方机构能够更好地满足项目的需要。</w:t>
      </w:r>
    </w:p>
    <w:p w:rsidR="00E156CF" w:rsidRDefault="00E156CF">
      <w:pPr>
        <w:spacing w:line="580" w:lineRule="exact"/>
        <w:ind w:firstLineChars="200" w:firstLine="640"/>
        <w:rPr>
          <w:rFonts w:ascii="仿宋_GB2312" w:eastAsia="仿宋_GB2312" w:hAnsi="仿宋_GB2312" w:cs="仿宋_GB2312"/>
          <w:sz w:val="32"/>
          <w:szCs w:val="32"/>
        </w:rPr>
      </w:pPr>
    </w:p>
    <w:p w:rsidR="00E156CF" w:rsidRDefault="004A2AE1">
      <w:pPr>
        <w:spacing w:line="580" w:lineRule="exact"/>
        <w:ind w:leftChars="305" w:left="1440" w:hangingChars="250" w:hanging="80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年度绩效评价中介费资金单位自评抽查复核差异率统计表</w:t>
      </w:r>
    </w:p>
    <w:sectPr w:rsidR="00E156CF" w:rsidSect="00E156CF">
      <w:footerReference w:type="default" r:id="rId9"/>
      <w:pgSz w:w="11906" w:h="16838"/>
      <w:pgMar w:top="2098" w:right="1417" w:bottom="1871" w:left="1531" w:header="851" w:footer="992" w:gutter="0"/>
      <w:pgNumType w:start="1"/>
      <w:cols w:space="0"/>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AE1" w:rsidRDefault="004A2AE1" w:rsidP="00E156CF">
      <w:r>
        <w:separator/>
      </w:r>
    </w:p>
  </w:endnote>
  <w:endnote w:type="continuationSeparator" w:id="1">
    <w:p w:rsidR="004A2AE1" w:rsidRDefault="004A2AE1" w:rsidP="00E15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文星简黑体">
    <w:altName w:val="黑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6CF" w:rsidRDefault="00E156CF">
    <w:pPr>
      <w:pStyle w:val="a6"/>
    </w:pPr>
    <w:r>
      <w:pict>
        <v:shapetype id="_x0000_t202" coordsize="21600,21600" o:spt="202" path="m,l,21600r21600,l21600,xe">
          <v:stroke joinstyle="miter"/>
          <v:path gradientshapeok="t" o:connecttype="rect"/>
        </v:shapetype>
        <v:shape id="_x0000_s6146" type="#_x0000_t202" style="position:absolute;margin-left:0;margin-top:0;width:6pt;height:10.35pt;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" filled="f" stroked="f">
          <v:textbox style="mso-fit-shape-to-text:t" inset="0,0,0,0">
            <w:txbxContent>
              <w:p w:rsidR="00E156CF" w:rsidRDefault="00E156CF">
                <w:pPr>
                  <w:pStyle w:val="a6"/>
                  <w:rPr>
                    <w:rFonts w:eastAsia="仿宋_GB2312"/>
                  </w:rPr>
                </w:pPr>
                <w:r>
                  <w:fldChar w:fldCharType="begin"/>
                </w:r>
                <w:r w:rsidR="004A2AE1">
                  <w:instrText xml:space="preserve"> PAGE  \* MERGEFORMAT </w:instrText>
                </w:r>
                <w:r>
                  <w:fldChar w:fldCharType="separate"/>
                </w:r>
                <w:r w:rsidR="009558A7">
                  <w:rPr>
                    <w:noProof/>
                  </w:rPr>
                  <w:t>2</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6CF" w:rsidRDefault="00E156CF">
    <w:pPr>
      <w:pStyle w:val="a6"/>
      <w:jc w:val="center"/>
    </w:pPr>
    <w:r>
      <w:pict>
        <v:shapetype id="_x0000_t202" coordsize="21600,21600" o:spt="202" path="m,l,21600r21600,l21600,xe">
          <v:stroke joinstyle="miter"/>
          <v:path gradientshapeok="t" o:connecttype="rect"/>
        </v:shapetype>
        <v:shape id="文本框 1025" o:spid="_x0000_s6145"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YhPgosgEAAEkDAAAOAAAAAAAAAAAAAAAAAC4CAABkcnMvZTJvRG9jLnhtbFBLAQIt&#10;ABQABgAIAAAAIQAMSvDu1gAAAAUBAAAPAAAAAAAAAAAAAAAAAAwEAABkcnMvZG93bnJldi54bWxQ&#10;SwUGAAAAAAQABADzAAAADwUAAAAA&#10;" filled="f" stroked="f">
          <v:textbox style="mso-fit-shape-to-text:t" inset="0,0,0,0">
            <w:txbxContent>
              <w:sdt>
                <w:sdtPr>
                  <w:id w:val="2009340"/>
                </w:sdtPr>
                <w:sdtContent>
                  <w:p w:rsidR="00E156CF" w:rsidRDefault="00E156CF">
                    <w:pPr>
                      <w:pStyle w:val="a6"/>
                      <w:jc w:val="center"/>
                    </w:pPr>
                    <w:r w:rsidRPr="00E156CF">
                      <w:fldChar w:fldCharType="begin"/>
                    </w:r>
                    <w:r w:rsidR="004A2AE1">
                      <w:instrText xml:space="preserve"> PAGE   \* MERGEFORMAT </w:instrText>
                    </w:r>
                    <w:r w:rsidRPr="00E156CF">
                      <w:fldChar w:fldCharType="separate"/>
                    </w:r>
                    <w:r w:rsidR="008D6AF1" w:rsidRPr="008D6AF1">
                      <w:rPr>
                        <w:noProof/>
                        <w:lang w:val="zh-CN"/>
                      </w:rPr>
                      <w:t>6</w:t>
                    </w:r>
                    <w:r>
                      <w:rPr>
                        <w:lang w:val="zh-CN"/>
                      </w:rPr>
                      <w:fldChar w:fldCharType="end"/>
                    </w:r>
                  </w:p>
                </w:sdtContent>
              </w:sdt>
              <w:p w:rsidR="00E156CF" w:rsidRDefault="00E156CF"/>
            </w:txbxContent>
          </v:textbox>
          <w10:wrap anchorx="margin"/>
        </v:shape>
      </w:pict>
    </w:r>
  </w:p>
  <w:p w:rsidR="00E156CF" w:rsidRDefault="00E156C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AE1" w:rsidRDefault="004A2AE1" w:rsidP="00E156CF">
      <w:r>
        <w:separator/>
      </w:r>
    </w:p>
  </w:footnote>
  <w:footnote w:type="continuationSeparator" w:id="1">
    <w:p w:rsidR="004A2AE1" w:rsidRDefault="004A2AE1" w:rsidP="00E156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VerticalDrawingGridEvery w:val="2"/>
  <w:noPunctuationKerning/>
  <w:characterSpacingControl w:val="compressPunctuation"/>
  <w:hdrShapeDefaults>
    <o:shapedefaults v:ext="edit" spidmax="8194"/>
    <o:shapelayout v:ext="edit">
      <o:idmap v:ext="edit" data="6"/>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2C6E0A"/>
    <w:rsid w:val="F5FF58FF"/>
    <w:rsid w:val="00010727"/>
    <w:rsid w:val="00014EA2"/>
    <w:rsid w:val="0003589F"/>
    <w:rsid w:val="000419E2"/>
    <w:rsid w:val="00043DF3"/>
    <w:rsid w:val="00044F36"/>
    <w:rsid w:val="000563D5"/>
    <w:rsid w:val="000577B9"/>
    <w:rsid w:val="000636F9"/>
    <w:rsid w:val="0006647B"/>
    <w:rsid w:val="000737AA"/>
    <w:rsid w:val="000801F1"/>
    <w:rsid w:val="0008748A"/>
    <w:rsid w:val="0009575E"/>
    <w:rsid w:val="00095B50"/>
    <w:rsid w:val="000A40EE"/>
    <w:rsid w:val="000B1D08"/>
    <w:rsid w:val="000C3C1B"/>
    <w:rsid w:val="000D3373"/>
    <w:rsid w:val="000D391A"/>
    <w:rsid w:val="000F67D6"/>
    <w:rsid w:val="001135BA"/>
    <w:rsid w:val="001206F0"/>
    <w:rsid w:val="0012565A"/>
    <w:rsid w:val="0015068A"/>
    <w:rsid w:val="00152A35"/>
    <w:rsid w:val="00161D22"/>
    <w:rsid w:val="00174BA7"/>
    <w:rsid w:val="00176583"/>
    <w:rsid w:val="00183181"/>
    <w:rsid w:val="00184E3D"/>
    <w:rsid w:val="0018610B"/>
    <w:rsid w:val="001B2FB5"/>
    <w:rsid w:val="001B3197"/>
    <w:rsid w:val="001D1D99"/>
    <w:rsid w:val="001E3E39"/>
    <w:rsid w:val="002048EB"/>
    <w:rsid w:val="00226964"/>
    <w:rsid w:val="00237242"/>
    <w:rsid w:val="002468EB"/>
    <w:rsid w:val="00250556"/>
    <w:rsid w:val="00250950"/>
    <w:rsid w:val="0026070A"/>
    <w:rsid w:val="00273295"/>
    <w:rsid w:val="002813FC"/>
    <w:rsid w:val="00283E33"/>
    <w:rsid w:val="00290E2D"/>
    <w:rsid w:val="00290F07"/>
    <w:rsid w:val="002957FC"/>
    <w:rsid w:val="0029636A"/>
    <w:rsid w:val="002A1998"/>
    <w:rsid w:val="002A1C20"/>
    <w:rsid w:val="002A234D"/>
    <w:rsid w:val="002A61F2"/>
    <w:rsid w:val="002B51FD"/>
    <w:rsid w:val="002C3530"/>
    <w:rsid w:val="002C6E0A"/>
    <w:rsid w:val="002C7185"/>
    <w:rsid w:val="002C7FB7"/>
    <w:rsid w:val="002E5A6B"/>
    <w:rsid w:val="002F2930"/>
    <w:rsid w:val="002F544F"/>
    <w:rsid w:val="00310B92"/>
    <w:rsid w:val="00313DFD"/>
    <w:rsid w:val="00324D55"/>
    <w:rsid w:val="003517B5"/>
    <w:rsid w:val="003536DF"/>
    <w:rsid w:val="00360AFD"/>
    <w:rsid w:val="00393121"/>
    <w:rsid w:val="0039481A"/>
    <w:rsid w:val="003A6426"/>
    <w:rsid w:val="003B3CC8"/>
    <w:rsid w:val="003B79A7"/>
    <w:rsid w:val="003C2355"/>
    <w:rsid w:val="003C2B9D"/>
    <w:rsid w:val="003C47DC"/>
    <w:rsid w:val="003D14B1"/>
    <w:rsid w:val="003D73C3"/>
    <w:rsid w:val="003E2EFB"/>
    <w:rsid w:val="003E6275"/>
    <w:rsid w:val="003F1160"/>
    <w:rsid w:val="003F244E"/>
    <w:rsid w:val="003F3E83"/>
    <w:rsid w:val="00400287"/>
    <w:rsid w:val="004056A3"/>
    <w:rsid w:val="00416DB7"/>
    <w:rsid w:val="0042136C"/>
    <w:rsid w:val="004227A7"/>
    <w:rsid w:val="004331AE"/>
    <w:rsid w:val="00433E27"/>
    <w:rsid w:val="00440748"/>
    <w:rsid w:val="004439C8"/>
    <w:rsid w:val="00444B55"/>
    <w:rsid w:val="00461372"/>
    <w:rsid w:val="00472B5A"/>
    <w:rsid w:val="004752CF"/>
    <w:rsid w:val="004931D3"/>
    <w:rsid w:val="004A2AE1"/>
    <w:rsid w:val="004A3F52"/>
    <w:rsid w:val="004A7821"/>
    <w:rsid w:val="004B24EE"/>
    <w:rsid w:val="004B3F4D"/>
    <w:rsid w:val="004B787E"/>
    <w:rsid w:val="004C1728"/>
    <w:rsid w:val="004D59E2"/>
    <w:rsid w:val="004D64CA"/>
    <w:rsid w:val="004E0471"/>
    <w:rsid w:val="00501429"/>
    <w:rsid w:val="00502674"/>
    <w:rsid w:val="005031D7"/>
    <w:rsid w:val="00505169"/>
    <w:rsid w:val="00510185"/>
    <w:rsid w:val="00512841"/>
    <w:rsid w:val="00523A5F"/>
    <w:rsid w:val="00524F42"/>
    <w:rsid w:val="0052765F"/>
    <w:rsid w:val="00530A97"/>
    <w:rsid w:val="0057107B"/>
    <w:rsid w:val="00571AF0"/>
    <w:rsid w:val="00571E4F"/>
    <w:rsid w:val="00573DF7"/>
    <w:rsid w:val="00581B67"/>
    <w:rsid w:val="00582EBE"/>
    <w:rsid w:val="0058412E"/>
    <w:rsid w:val="00584546"/>
    <w:rsid w:val="005A0B71"/>
    <w:rsid w:val="005A3B28"/>
    <w:rsid w:val="005B3F93"/>
    <w:rsid w:val="005C24BB"/>
    <w:rsid w:val="005C265A"/>
    <w:rsid w:val="005E02B8"/>
    <w:rsid w:val="005E24D8"/>
    <w:rsid w:val="005E5F93"/>
    <w:rsid w:val="005E7270"/>
    <w:rsid w:val="005F5B75"/>
    <w:rsid w:val="005F7B13"/>
    <w:rsid w:val="006065EE"/>
    <w:rsid w:val="006141C7"/>
    <w:rsid w:val="006159A5"/>
    <w:rsid w:val="006172E3"/>
    <w:rsid w:val="006231C2"/>
    <w:rsid w:val="00624043"/>
    <w:rsid w:val="00624F74"/>
    <w:rsid w:val="006319D0"/>
    <w:rsid w:val="00635C66"/>
    <w:rsid w:val="00637CD7"/>
    <w:rsid w:val="00641F0B"/>
    <w:rsid w:val="00661B5C"/>
    <w:rsid w:val="00665615"/>
    <w:rsid w:val="00670426"/>
    <w:rsid w:val="0067156B"/>
    <w:rsid w:val="00681B50"/>
    <w:rsid w:val="006A077F"/>
    <w:rsid w:val="006A15F8"/>
    <w:rsid w:val="006A55E7"/>
    <w:rsid w:val="006A759F"/>
    <w:rsid w:val="006B01FF"/>
    <w:rsid w:val="006B1688"/>
    <w:rsid w:val="006C09BE"/>
    <w:rsid w:val="006C44BB"/>
    <w:rsid w:val="006D4355"/>
    <w:rsid w:val="006E056C"/>
    <w:rsid w:val="006E1764"/>
    <w:rsid w:val="006F1B1F"/>
    <w:rsid w:val="006F3AAB"/>
    <w:rsid w:val="006F62D3"/>
    <w:rsid w:val="006F6449"/>
    <w:rsid w:val="006F71C6"/>
    <w:rsid w:val="006F71F5"/>
    <w:rsid w:val="006F760D"/>
    <w:rsid w:val="00703267"/>
    <w:rsid w:val="0070447B"/>
    <w:rsid w:val="007164AD"/>
    <w:rsid w:val="00740DAC"/>
    <w:rsid w:val="00741D32"/>
    <w:rsid w:val="00755168"/>
    <w:rsid w:val="00761E2E"/>
    <w:rsid w:val="00772A2A"/>
    <w:rsid w:val="00777A8E"/>
    <w:rsid w:val="0079762D"/>
    <w:rsid w:val="007D4A53"/>
    <w:rsid w:val="007E4C19"/>
    <w:rsid w:val="007E6ED1"/>
    <w:rsid w:val="008115C6"/>
    <w:rsid w:val="00815BD8"/>
    <w:rsid w:val="008202F9"/>
    <w:rsid w:val="0082476D"/>
    <w:rsid w:val="00832D23"/>
    <w:rsid w:val="00835275"/>
    <w:rsid w:val="0083688E"/>
    <w:rsid w:val="0084261B"/>
    <w:rsid w:val="00847DB7"/>
    <w:rsid w:val="008571BB"/>
    <w:rsid w:val="00885D60"/>
    <w:rsid w:val="00887F03"/>
    <w:rsid w:val="008968AC"/>
    <w:rsid w:val="00896E17"/>
    <w:rsid w:val="008A2816"/>
    <w:rsid w:val="008B461D"/>
    <w:rsid w:val="008C7CEA"/>
    <w:rsid w:val="008D6AF1"/>
    <w:rsid w:val="00901FC2"/>
    <w:rsid w:val="00901FD7"/>
    <w:rsid w:val="009043CE"/>
    <w:rsid w:val="00914EF7"/>
    <w:rsid w:val="00915DE2"/>
    <w:rsid w:val="00920952"/>
    <w:rsid w:val="00925C04"/>
    <w:rsid w:val="00925D9B"/>
    <w:rsid w:val="00926636"/>
    <w:rsid w:val="00926D7C"/>
    <w:rsid w:val="00937E9B"/>
    <w:rsid w:val="0094570E"/>
    <w:rsid w:val="00950A48"/>
    <w:rsid w:val="009556F6"/>
    <w:rsid w:val="009558A7"/>
    <w:rsid w:val="00961777"/>
    <w:rsid w:val="0096180C"/>
    <w:rsid w:val="009700EC"/>
    <w:rsid w:val="00973A87"/>
    <w:rsid w:val="00990755"/>
    <w:rsid w:val="009A33C8"/>
    <w:rsid w:val="009A6A1D"/>
    <w:rsid w:val="009B3E81"/>
    <w:rsid w:val="009B5BDF"/>
    <w:rsid w:val="009C5F1E"/>
    <w:rsid w:val="009C5F7C"/>
    <w:rsid w:val="009C79CB"/>
    <w:rsid w:val="009D3EAB"/>
    <w:rsid w:val="009E0A8A"/>
    <w:rsid w:val="009E7B34"/>
    <w:rsid w:val="00A031C5"/>
    <w:rsid w:val="00A14DF0"/>
    <w:rsid w:val="00A33A1A"/>
    <w:rsid w:val="00A60EC5"/>
    <w:rsid w:val="00A665C8"/>
    <w:rsid w:val="00A73369"/>
    <w:rsid w:val="00A86278"/>
    <w:rsid w:val="00A87A99"/>
    <w:rsid w:val="00A97BFE"/>
    <w:rsid w:val="00AA32F1"/>
    <w:rsid w:val="00AA3529"/>
    <w:rsid w:val="00AA428C"/>
    <w:rsid w:val="00AA5B93"/>
    <w:rsid w:val="00AC2533"/>
    <w:rsid w:val="00AC26CB"/>
    <w:rsid w:val="00AE08F3"/>
    <w:rsid w:val="00AE35FF"/>
    <w:rsid w:val="00AF01F5"/>
    <w:rsid w:val="00AF0F9B"/>
    <w:rsid w:val="00AF6ED9"/>
    <w:rsid w:val="00B012DD"/>
    <w:rsid w:val="00B01E8E"/>
    <w:rsid w:val="00B0369A"/>
    <w:rsid w:val="00B1546B"/>
    <w:rsid w:val="00B307FF"/>
    <w:rsid w:val="00B331B5"/>
    <w:rsid w:val="00B56938"/>
    <w:rsid w:val="00B56ED5"/>
    <w:rsid w:val="00B6277C"/>
    <w:rsid w:val="00B81185"/>
    <w:rsid w:val="00B93653"/>
    <w:rsid w:val="00B97B8B"/>
    <w:rsid w:val="00BB2C7E"/>
    <w:rsid w:val="00BC10AD"/>
    <w:rsid w:val="00BC5BF4"/>
    <w:rsid w:val="00BD4429"/>
    <w:rsid w:val="00C03A2D"/>
    <w:rsid w:val="00C04675"/>
    <w:rsid w:val="00C138DD"/>
    <w:rsid w:val="00C20BDC"/>
    <w:rsid w:val="00C25BAC"/>
    <w:rsid w:val="00C2774E"/>
    <w:rsid w:val="00C30D74"/>
    <w:rsid w:val="00C40D02"/>
    <w:rsid w:val="00C421EA"/>
    <w:rsid w:val="00C4538D"/>
    <w:rsid w:val="00C47C34"/>
    <w:rsid w:val="00C5036C"/>
    <w:rsid w:val="00C51F4A"/>
    <w:rsid w:val="00C55705"/>
    <w:rsid w:val="00C56EBC"/>
    <w:rsid w:val="00C631EB"/>
    <w:rsid w:val="00C8087B"/>
    <w:rsid w:val="00C80F3B"/>
    <w:rsid w:val="00C81CBF"/>
    <w:rsid w:val="00C8264A"/>
    <w:rsid w:val="00C83019"/>
    <w:rsid w:val="00C835E7"/>
    <w:rsid w:val="00CA1EF1"/>
    <w:rsid w:val="00CA328F"/>
    <w:rsid w:val="00CA4E70"/>
    <w:rsid w:val="00CB5A80"/>
    <w:rsid w:val="00CC0527"/>
    <w:rsid w:val="00CC1CCC"/>
    <w:rsid w:val="00CD4B33"/>
    <w:rsid w:val="00CE081E"/>
    <w:rsid w:val="00CE6A93"/>
    <w:rsid w:val="00D02460"/>
    <w:rsid w:val="00D11A07"/>
    <w:rsid w:val="00D2497C"/>
    <w:rsid w:val="00D25E00"/>
    <w:rsid w:val="00D32585"/>
    <w:rsid w:val="00D60637"/>
    <w:rsid w:val="00D62380"/>
    <w:rsid w:val="00D64DF4"/>
    <w:rsid w:val="00D64EA0"/>
    <w:rsid w:val="00D7277D"/>
    <w:rsid w:val="00D77327"/>
    <w:rsid w:val="00D82CEB"/>
    <w:rsid w:val="00D83B6C"/>
    <w:rsid w:val="00D84FA8"/>
    <w:rsid w:val="00D9039A"/>
    <w:rsid w:val="00D938B2"/>
    <w:rsid w:val="00D96C90"/>
    <w:rsid w:val="00DA55EC"/>
    <w:rsid w:val="00DA7515"/>
    <w:rsid w:val="00DB01F4"/>
    <w:rsid w:val="00DC0538"/>
    <w:rsid w:val="00DC3116"/>
    <w:rsid w:val="00DD4B4E"/>
    <w:rsid w:val="00DE305B"/>
    <w:rsid w:val="00DE7148"/>
    <w:rsid w:val="00DE7A62"/>
    <w:rsid w:val="00E156CF"/>
    <w:rsid w:val="00E34CBE"/>
    <w:rsid w:val="00E37A87"/>
    <w:rsid w:val="00E735A3"/>
    <w:rsid w:val="00E81C41"/>
    <w:rsid w:val="00E90DD9"/>
    <w:rsid w:val="00EA11FD"/>
    <w:rsid w:val="00EA49BF"/>
    <w:rsid w:val="00EA686A"/>
    <w:rsid w:val="00EB0908"/>
    <w:rsid w:val="00EB5F4C"/>
    <w:rsid w:val="00EC0D74"/>
    <w:rsid w:val="00EC44FE"/>
    <w:rsid w:val="00EC49EF"/>
    <w:rsid w:val="00EC4BFC"/>
    <w:rsid w:val="00ED56AE"/>
    <w:rsid w:val="00EE095C"/>
    <w:rsid w:val="00EE13AC"/>
    <w:rsid w:val="00EE605D"/>
    <w:rsid w:val="00EE6C4E"/>
    <w:rsid w:val="00EF1837"/>
    <w:rsid w:val="00EF7A06"/>
    <w:rsid w:val="00EF7DB1"/>
    <w:rsid w:val="00F13BF8"/>
    <w:rsid w:val="00F22ACA"/>
    <w:rsid w:val="00F23ED9"/>
    <w:rsid w:val="00F25602"/>
    <w:rsid w:val="00F3134F"/>
    <w:rsid w:val="00F40FD6"/>
    <w:rsid w:val="00F63DDC"/>
    <w:rsid w:val="00F82698"/>
    <w:rsid w:val="00F83B14"/>
    <w:rsid w:val="00F8452B"/>
    <w:rsid w:val="00F86040"/>
    <w:rsid w:val="00FA54D2"/>
    <w:rsid w:val="00FA567D"/>
    <w:rsid w:val="00FA6648"/>
    <w:rsid w:val="00FB068F"/>
    <w:rsid w:val="00FC3354"/>
    <w:rsid w:val="00FC45AC"/>
    <w:rsid w:val="00FC7C71"/>
    <w:rsid w:val="015D6B2A"/>
    <w:rsid w:val="0267688D"/>
    <w:rsid w:val="02870911"/>
    <w:rsid w:val="03155B98"/>
    <w:rsid w:val="037A01B8"/>
    <w:rsid w:val="04B279D4"/>
    <w:rsid w:val="04DF17C6"/>
    <w:rsid w:val="0550199D"/>
    <w:rsid w:val="056C0963"/>
    <w:rsid w:val="05BD4723"/>
    <w:rsid w:val="07646DE7"/>
    <w:rsid w:val="080E30EF"/>
    <w:rsid w:val="09F04623"/>
    <w:rsid w:val="0ABC43F9"/>
    <w:rsid w:val="0ADF7419"/>
    <w:rsid w:val="0B491872"/>
    <w:rsid w:val="0D903025"/>
    <w:rsid w:val="0EA165E3"/>
    <w:rsid w:val="0EF04EC5"/>
    <w:rsid w:val="10080393"/>
    <w:rsid w:val="103D1135"/>
    <w:rsid w:val="12202D6C"/>
    <w:rsid w:val="124327EE"/>
    <w:rsid w:val="12FD4E8E"/>
    <w:rsid w:val="13952316"/>
    <w:rsid w:val="1469418D"/>
    <w:rsid w:val="14D95941"/>
    <w:rsid w:val="15826171"/>
    <w:rsid w:val="178D1F65"/>
    <w:rsid w:val="1A3C42E1"/>
    <w:rsid w:val="1B354396"/>
    <w:rsid w:val="1B3D683B"/>
    <w:rsid w:val="1B625380"/>
    <w:rsid w:val="1C57189A"/>
    <w:rsid w:val="1D285695"/>
    <w:rsid w:val="1D2D74A9"/>
    <w:rsid w:val="1E5B1196"/>
    <w:rsid w:val="1FFB048E"/>
    <w:rsid w:val="21125231"/>
    <w:rsid w:val="214C265F"/>
    <w:rsid w:val="21A47D8E"/>
    <w:rsid w:val="21C8576E"/>
    <w:rsid w:val="21CB0B0B"/>
    <w:rsid w:val="22D84689"/>
    <w:rsid w:val="22E23BA3"/>
    <w:rsid w:val="232A42A8"/>
    <w:rsid w:val="237B0B06"/>
    <w:rsid w:val="23CA1FC4"/>
    <w:rsid w:val="25547F56"/>
    <w:rsid w:val="26F51708"/>
    <w:rsid w:val="27714360"/>
    <w:rsid w:val="2A9A7CB3"/>
    <w:rsid w:val="2BAA6B11"/>
    <w:rsid w:val="2D113951"/>
    <w:rsid w:val="2E281AEC"/>
    <w:rsid w:val="2F0A4535"/>
    <w:rsid w:val="2F2551EC"/>
    <w:rsid w:val="2F3822B1"/>
    <w:rsid w:val="2F610930"/>
    <w:rsid w:val="2F9E1C45"/>
    <w:rsid w:val="2FAC25A0"/>
    <w:rsid w:val="2FC50F33"/>
    <w:rsid w:val="2FF20302"/>
    <w:rsid w:val="2FF7475A"/>
    <w:rsid w:val="302745E4"/>
    <w:rsid w:val="30FC7E10"/>
    <w:rsid w:val="31F51B43"/>
    <w:rsid w:val="32CC548D"/>
    <w:rsid w:val="32E97D8A"/>
    <w:rsid w:val="330F0462"/>
    <w:rsid w:val="33127246"/>
    <w:rsid w:val="332D3382"/>
    <w:rsid w:val="33F8024A"/>
    <w:rsid w:val="35247266"/>
    <w:rsid w:val="365D2844"/>
    <w:rsid w:val="38197B9E"/>
    <w:rsid w:val="38B42E51"/>
    <w:rsid w:val="39082401"/>
    <w:rsid w:val="39CD7C90"/>
    <w:rsid w:val="39CF53D1"/>
    <w:rsid w:val="3A9F22C2"/>
    <w:rsid w:val="3AAF0167"/>
    <w:rsid w:val="3AE34A17"/>
    <w:rsid w:val="3BAE1B1B"/>
    <w:rsid w:val="3CBE2CE1"/>
    <w:rsid w:val="3E4B5DA1"/>
    <w:rsid w:val="3E7B7458"/>
    <w:rsid w:val="3EB428C3"/>
    <w:rsid w:val="3EF65C0B"/>
    <w:rsid w:val="3F272BF3"/>
    <w:rsid w:val="3F5FC4BB"/>
    <w:rsid w:val="3F735962"/>
    <w:rsid w:val="3FE95C21"/>
    <w:rsid w:val="40026FFD"/>
    <w:rsid w:val="41000C7A"/>
    <w:rsid w:val="41E1394C"/>
    <w:rsid w:val="420425F2"/>
    <w:rsid w:val="421524D4"/>
    <w:rsid w:val="422C35B8"/>
    <w:rsid w:val="427B0CF1"/>
    <w:rsid w:val="431F553A"/>
    <w:rsid w:val="43CC61A6"/>
    <w:rsid w:val="4409111F"/>
    <w:rsid w:val="473D413F"/>
    <w:rsid w:val="475844C0"/>
    <w:rsid w:val="47A23DCF"/>
    <w:rsid w:val="48C844AD"/>
    <w:rsid w:val="48CC0F4C"/>
    <w:rsid w:val="492D5DC1"/>
    <w:rsid w:val="4A061863"/>
    <w:rsid w:val="4AE85167"/>
    <w:rsid w:val="4B4810C0"/>
    <w:rsid w:val="4BBA3DCF"/>
    <w:rsid w:val="4BD45F6D"/>
    <w:rsid w:val="4C8E53B2"/>
    <w:rsid w:val="4D611793"/>
    <w:rsid w:val="4E060B7F"/>
    <w:rsid w:val="4ED202BE"/>
    <w:rsid w:val="4F6B0D1B"/>
    <w:rsid w:val="4FAA647E"/>
    <w:rsid w:val="4FE03DC4"/>
    <w:rsid w:val="51046304"/>
    <w:rsid w:val="51DE085F"/>
    <w:rsid w:val="521F6CFF"/>
    <w:rsid w:val="529C5C4F"/>
    <w:rsid w:val="53D84B4B"/>
    <w:rsid w:val="54C62619"/>
    <w:rsid w:val="56687704"/>
    <w:rsid w:val="5712282D"/>
    <w:rsid w:val="59D800F7"/>
    <w:rsid w:val="59F21B57"/>
    <w:rsid w:val="59FFA87E"/>
    <w:rsid w:val="5A745763"/>
    <w:rsid w:val="5AD9207B"/>
    <w:rsid w:val="5B8D6070"/>
    <w:rsid w:val="5CEB1CAA"/>
    <w:rsid w:val="5D640436"/>
    <w:rsid w:val="5D782258"/>
    <w:rsid w:val="5E143576"/>
    <w:rsid w:val="5F3C14CE"/>
    <w:rsid w:val="5F9B20D6"/>
    <w:rsid w:val="5FBB6B27"/>
    <w:rsid w:val="5FC41423"/>
    <w:rsid w:val="5FF71689"/>
    <w:rsid w:val="613B6954"/>
    <w:rsid w:val="61D6427A"/>
    <w:rsid w:val="61F3446A"/>
    <w:rsid w:val="627827B6"/>
    <w:rsid w:val="628B6808"/>
    <w:rsid w:val="63E07A4B"/>
    <w:rsid w:val="66500518"/>
    <w:rsid w:val="66612F82"/>
    <w:rsid w:val="668805B0"/>
    <w:rsid w:val="66F414C0"/>
    <w:rsid w:val="677F7C97"/>
    <w:rsid w:val="686178C3"/>
    <w:rsid w:val="69575426"/>
    <w:rsid w:val="699E327A"/>
    <w:rsid w:val="69D321B0"/>
    <w:rsid w:val="69E7297B"/>
    <w:rsid w:val="6A2302A6"/>
    <w:rsid w:val="6B492EB8"/>
    <w:rsid w:val="6B5D2645"/>
    <w:rsid w:val="6C147D85"/>
    <w:rsid w:val="6DC203D1"/>
    <w:rsid w:val="6EB446F7"/>
    <w:rsid w:val="6EF94790"/>
    <w:rsid w:val="6F2621DB"/>
    <w:rsid w:val="70F765A9"/>
    <w:rsid w:val="710C31C0"/>
    <w:rsid w:val="729448F9"/>
    <w:rsid w:val="72E83AAB"/>
    <w:rsid w:val="73A47383"/>
    <w:rsid w:val="74370D0F"/>
    <w:rsid w:val="74606462"/>
    <w:rsid w:val="74AD7722"/>
    <w:rsid w:val="75060144"/>
    <w:rsid w:val="77771CF3"/>
    <w:rsid w:val="78780E3A"/>
    <w:rsid w:val="798D6117"/>
    <w:rsid w:val="79A71A1B"/>
    <w:rsid w:val="7A9B7953"/>
    <w:rsid w:val="7AE13552"/>
    <w:rsid w:val="7B574551"/>
    <w:rsid w:val="7E7F12A1"/>
    <w:rsid w:val="7FAB6AA8"/>
    <w:rsid w:val="7FAF32BE"/>
    <w:rsid w:val="7FFA13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7"/>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6CF"/>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E156CF"/>
    <w:pPr>
      <w:keepNext/>
      <w:keepLines/>
      <w:spacing w:line="576" w:lineRule="auto"/>
      <w:outlineLvl w:val="0"/>
    </w:pPr>
    <w:rPr>
      <w:b/>
      <w:kern w:val="44"/>
      <w:sz w:val="44"/>
    </w:rPr>
  </w:style>
  <w:style w:type="paragraph" w:styleId="2">
    <w:name w:val="heading 2"/>
    <w:basedOn w:val="a"/>
    <w:next w:val="a"/>
    <w:link w:val="2Char"/>
    <w:unhideWhenUsed/>
    <w:qFormat/>
    <w:rsid w:val="00E156C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E156C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E156CF"/>
    <w:rPr>
      <w:rFonts w:ascii="宋体" w:eastAsia="宋体"/>
      <w:sz w:val="18"/>
      <w:szCs w:val="18"/>
    </w:rPr>
  </w:style>
  <w:style w:type="paragraph" w:styleId="a4">
    <w:name w:val="Date"/>
    <w:basedOn w:val="a"/>
    <w:next w:val="a"/>
    <w:link w:val="Char0"/>
    <w:qFormat/>
    <w:rsid w:val="00E156CF"/>
    <w:pPr>
      <w:ind w:leftChars="2500" w:left="100"/>
    </w:pPr>
  </w:style>
  <w:style w:type="paragraph" w:styleId="a5">
    <w:name w:val="Balloon Text"/>
    <w:basedOn w:val="a"/>
    <w:link w:val="Char1"/>
    <w:qFormat/>
    <w:rsid w:val="00E156CF"/>
    <w:rPr>
      <w:sz w:val="18"/>
      <w:szCs w:val="18"/>
    </w:rPr>
  </w:style>
  <w:style w:type="paragraph" w:styleId="a6">
    <w:name w:val="footer"/>
    <w:basedOn w:val="a"/>
    <w:link w:val="Char2"/>
    <w:uiPriority w:val="99"/>
    <w:qFormat/>
    <w:rsid w:val="00E156CF"/>
    <w:pPr>
      <w:tabs>
        <w:tab w:val="center" w:pos="4153"/>
        <w:tab w:val="right" w:pos="8306"/>
      </w:tabs>
      <w:snapToGrid w:val="0"/>
      <w:jc w:val="left"/>
    </w:pPr>
    <w:rPr>
      <w:sz w:val="18"/>
      <w:szCs w:val="18"/>
    </w:rPr>
  </w:style>
  <w:style w:type="paragraph" w:styleId="a7">
    <w:name w:val="header"/>
    <w:basedOn w:val="a"/>
    <w:link w:val="Char3"/>
    <w:qFormat/>
    <w:rsid w:val="00E156C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E156CF"/>
    <w:pPr>
      <w:snapToGrid w:val="0"/>
      <w:spacing w:line="640" w:lineRule="exact"/>
      <w:ind w:firstLine="705"/>
    </w:pPr>
    <w:rPr>
      <w:rFonts w:ascii="仿宋_GB2312" w:eastAsia="仿宋_GB2312" w:hAnsi="Calibri" w:cs="Times New Roman"/>
      <w:color w:val="000000"/>
      <w:sz w:val="36"/>
      <w:szCs w:val="36"/>
    </w:rPr>
  </w:style>
  <w:style w:type="paragraph" w:styleId="20">
    <w:name w:val="toc 2"/>
    <w:basedOn w:val="a"/>
    <w:next w:val="a"/>
    <w:uiPriority w:val="39"/>
    <w:qFormat/>
    <w:rsid w:val="00E156CF"/>
    <w:pPr>
      <w:ind w:leftChars="200" w:left="420"/>
    </w:pPr>
    <w:rPr>
      <w:rFonts w:ascii="Times New Roman" w:eastAsia="仿宋_GB2312" w:hAnsi="Times New Roman" w:cs="Times New Roman"/>
      <w:sz w:val="30"/>
    </w:rPr>
  </w:style>
  <w:style w:type="table" w:styleId="a8">
    <w:name w:val="Table Grid"/>
    <w:basedOn w:val="a1"/>
    <w:qFormat/>
    <w:rsid w:val="00E156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qFormat/>
    <w:rsid w:val="00E156CF"/>
    <w:rPr>
      <w:color w:val="333333"/>
      <w:u w:val="none"/>
    </w:rPr>
  </w:style>
  <w:style w:type="paragraph" w:customStyle="1" w:styleId="11">
    <w:name w:val="列出段落1"/>
    <w:basedOn w:val="a"/>
    <w:uiPriority w:val="34"/>
    <w:unhideWhenUsed/>
    <w:qFormat/>
    <w:rsid w:val="00E156CF"/>
    <w:pPr>
      <w:ind w:firstLineChars="200" w:firstLine="420"/>
    </w:pPr>
  </w:style>
  <w:style w:type="character" w:customStyle="1" w:styleId="Char3">
    <w:name w:val="页眉 Char"/>
    <w:basedOn w:val="a0"/>
    <w:link w:val="a7"/>
    <w:qFormat/>
    <w:rsid w:val="00E156CF"/>
    <w:rPr>
      <w:rFonts w:asciiTheme="minorHAnsi" w:eastAsiaTheme="minorEastAsia" w:hAnsiTheme="minorHAnsi" w:cstheme="minorBidi"/>
      <w:kern w:val="2"/>
      <w:sz w:val="18"/>
      <w:szCs w:val="18"/>
    </w:rPr>
  </w:style>
  <w:style w:type="character" w:customStyle="1" w:styleId="Char2">
    <w:name w:val="页脚 Char"/>
    <w:basedOn w:val="a0"/>
    <w:link w:val="a6"/>
    <w:uiPriority w:val="99"/>
    <w:qFormat/>
    <w:rsid w:val="00E156CF"/>
    <w:rPr>
      <w:rFonts w:asciiTheme="minorHAnsi" w:eastAsiaTheme="minorEastAsia" w:hAnsiTheme="minorHAnsi" w:cstheme="minorBidi"/>
      <w:kern w:val="2"/>
      <w:sz w:val="18"/>
      <w:szCs w:val="18"/>
    </w:rPr>
  </w:style>
  <w:style w:type="character" w:customStyle="1" w:styleId="Char0">
    <w:name w:val="日期 Char"/>
    <w:basedOn w:val="a0"/>
    <w:link w:val="a4"/>
    <w:qFormat/>
    <w:rsid w:val="00E156CF"/>
    <w:rPr>
      <w:rFonts w:asciiTheme="minorHAnsi" w:eastAsiaTheme="minorEastAsia" w:hAnsiTheme="minorHAnsi" w:cstheme="minorBidi"/>
      <w:kern w:val="2"/>
      <w:sz w:val="21"/>
      <w:szCs w:val="24"/>
    </w:rPr>
  </w:style>
  <w:style w:type="character" w:customStyle="1" w:styleId="Char">
    <w:name w:val="文档结构图 Char"/>
    <w:basedOn w:val="a0"/>
    <w:link w:val="a3"/>
    <w:qFormat/>
    <w:rsid w:val="00E156CF"/>
    <w:rPr>
      <w:rFonts w:ascii="宋体" w:hAnsiTheme="minorHAnsi" w:cstheme="minorBidi"/>
      <w:kern w:val="2"/>
      <w:sz w:val="18"/>
      <w:szCs w:val="18"/>
    </w:rPr>
  </w:style>
  <w:style w:type="character" w:customStyle="1" w:styleId="Char1">
    <w:name w:val="批注框文本 Char"/>
    <w:basedOn w:val="a0"/>
    <w:link w:val="a5"/>
    <w:qFormat/>
    <w:rsid w:val="00E156CF"/>
    <w:rPr>
      <w:rFonts w:asciiTheme="minorHAnsi" w:eastAsiaTheme="minorEastAsia" w:hAnsiTheme="minorHAnsi" w:cstheme="minorBidi"/>
      <w:kern w:val="2"/>
      <w:sz w:val="18"/>
      <w:szCs w:val="18"/>
    </w:rPr>
  </w:style>
  <w:style w:type="character" w:customStyle="1" w:styleId="2Char">
    <w:name w:val="标题 2 Char"/>
    <w:basedOn w:val="a0"/>
    <w:link w:val="2"/>
    <w:semiHidden/>
    <w:qFormat/>
    <w:rsid w:val="00E156CF"/>
    <w:rPr>
      <w:rFonts w:asciiTheme="majorHAnsi" w:eastAsiaTheme="majorEastAsia" w:hAnsiTheme="majorHAnsi" w:cstheme="majorBidi"/>
      <w:b/>
      <w:bCs/>
      <w:kern w:val="2"/>
      <w:sz w:val="32"/>
      <w:szCs w:val="32"/>
    </w:rPr>
  </w:style>
  <w:style w:type="character" w:customStyle="1" w:styleId="3Char">
    <w:name w:val="标题 3 Char"/>
    <w:basedOn w:val="a0"/>
    <w:link w:val="3"/>
    <w:semiHidden/>
    <w:qFormat/>
    <w:rsid w:val="00E156CF"/>
    <w:rPr>
      <w:rFonts w:asciiTheme="minorHAnsi" w:eastAsiaTheme="minorEastAsia" w:hAnsiTheme="minorHAnsi" w:cstheme="minorBidi"/>
      <w:b/>
      <w:bCs/>
      <w:kern w:val="2"/>
      <w:sz w:val="32"/>
      <w:szCs w:val="32"/>
    </w:rPr>
  </w:style>
  <w:style w:type="paragraph" w:customStyle="1" w:styleId="12">
    <w:name w:val="修订1"/>
    <w:hidden/>
    <w:uiPriority w:val="99"/>
    <w:unhideWhenUsed/>
    <w:qFormat/>
    <w:rsid w:val="00E156CF"/>
    <w:rPr>
      <w:rFonts w:asciiTheme="minorHAnsi" w:eastAsiaTheme="minorEastAsia" w:hAnsiTheme="minorHAnsi" w:cstheme="minorBidi"/>
      <w:kern w:val="2"/>
      <w:sz w:val="21"/>
      <w:szCs w:val="24"/>
    </w:rPr>
  </w:style>
  <w:style w:type="paragraph" w:styleId="aa">
    <w:name w:val="List Paragraph"/>
    <w:basedOn w:val="a"/>
    <w:uiPriority w:val="99"/>
    <w:unhideWhenUsed/>
    <w:qFormat/>
    <w:rsid w:val="00E156C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6146"/>
    <customShpInfo spid="_x0000_s6145"/>
  </customShpExts>
</s:customData>
</file>

<file path=customXml/itemProps1.xml><?xml version="1.0" encoding="utf-8"?>
<ds:datastoreItem xmlns:ds="http://schemas.openxmlformats.org/officeDocument/2006/customXml" ds:itemID="{ED52C6FA-B821-4B9D-8538-E4CEEFFAD1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509</Words>
  <Characters>2903</Characters>
  <Application>Microsoft Office Word</Application>
  <DocSecurity>0</DocSecurity>
  <Lines>24</Lines>
  <Paragraphs>6</Paragraphs>
  <ScaleCrop>false</ScaleCrop>
  <Company>Microsoft</Company>
  <LinksUpToDate>false</LinksUpToDate>
  <CharactersWithSpaces>3406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56</cp:revision>
  <cp:lastPrinted>2021-10-08T02:21:00Z</cp:lastPrinted>
  <dcterms:created xsi:type="dcterms:W3CDTF">2023-06-16T03:24:00Z</dcterms:created>
  <dcterms:modified xsi:type="dcterms:W3CDTF">2024-07-08T09:16:00Z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ICV">
    <vt:lpwstr>3F207902D39F4CB2A175CE6BB3F6781A</vt:lpwstr>
  </property>
</Properties>
</file>