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青岛西海岸新区宝山镇</w:t>
      </w:r>
    </w:p>
    <w:p>
      <w:pPr>
        <w:pageBreakBefore w:val="0"/>
        <w:widowControl w:val="0"/>
        <w:kinsoku/>
        <w:wordWrap/>
        <w:overflowPunct/>
        <w:topLinePunct w:val="0"/>
        <w:autoSpaceDE/>
        <w:autoSpaceDN/>
        <w:bidi w:val="0"/>
        <w:adjustRightIn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2022年政府信息公开工作年度报告</w:t>
      </w:r>
    </w:p>
    <w:p>
      <w:pPr>
        <w:pageBreakBefore w:val="0"/>
        <w:widowControl w:val="0"/>
        <w:kinsoku/>
        <w:wordWrap/>
        <w:overflowPunct/>
        <w:topLinePunct w:val="0"/>
        <w:autoSpaceDE/>
        <w:autoSpaceDN/>
        <w:bidi w:val="0"/>
        <w:adjustRightInd/>
        <w:spacing w:line="560" w:lineRule="exact"/>
        <w:ind w:firstLine="880" w:firstLineChars="200"/>
        <w:jc w:val="center"/>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本报告根据《中华人民共和国政府信息公开条例》（以下简称《条例》）的规定编制，报告中所列数据的统计期限自202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年1月1日起至202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年12月31日止。如对本报告有任何疑问，请与</w:t>
      </w:r>
      <w:r>
        <w:rPr>
          <w:rFonts w:hint="eastAsia" w:ascii="仿宋_GB2312" w:eastAsia="仿宋_GB2312"/>
          <w:color w:val="000000"/>
          <w:sz w:val="32"/>
          <w:szCs w:val="32"/>
          <w:lang w:eastAsia="zh-CN"/>
        </w:rPr>
        <w:t>宝山镇政府</w:t>
      </w:r>
      <w:r>
        <w:rPr>
          <w:rFonts w:hint="eastAsia" w:ascii="仿宋_GB2312" w:eastAsia="仿宋_GB2312"/>
          <w:color w:val="000000"/>
          <w:sz w:val="32"/>
          <w:szCs w:val="32"/>
        </w:rPr>
        <w:t>联系（地址：</w:t>
      </w:r>
      <w:r>
        <w:rPr>
          <w:rFonts w:hint="eastAsia" w:ascii="仿宋_GB2312" w:eastAsia="仿宋_GB2312"/>
          <w:color w:val="000000"/>
          <w:sz w:val="32"/>
          <w:szCs w:val="32"/>
          <w:lang w:eastAsia="zh-CN"/>
        </w:rPr>
        <w:t>青岛市黄岛区宝山镇七宝山路</w:t>
      </w:r>
      <w:r>
        <w:rPr>
          <w:rFonts w:hint="eastAsia" w:ascii="仿宋_GB2312" w:eastAsia="仿宋_GB2312"/>
          <w:color w:val="000000"/>
          <w:sz w:val="32"/>
          <w:szCs w:val="32"/>
          <w:lang w:val="en-US" w:eastAsia="zh-CN"/>
        </w:rPr>
        <w:t>27号</w:t>
      </w:r>
      <w:r>
        <w:rPr>
          <w:rFonts w:hint="eastAsia" w:ascii="仿宋_GB2312" w:eastAsia="仿宋_GB2312"/>
          <w:color w:val="000000"/>
          <w:sz w:val="32"/>
          <w:szCs w:val="32"/>
        </w:rPr>
        <w:t>；电话：0532-</w:t>
      </w:r>
      <w:r>
        <w:rPr>
          <w:rFonts w:hint="eastAsia" w:ascii="仿宋_GB2312" w:eastAsia="仿宋_GB2312"/>
          <w:color w:val="000000"/>
          <w:sz w:val="32"/>
          <w:szCs w:val="32"/>
          <w:lang w:val="en-US" w:eastAsia="zh-CN"/>
        </w:rPr>
        <w:t>82131022</w:t>
      </w:r>
      <w:r>
        <w:rPr>
          <w:rFonts w:hint="eastAsia" w:ascii="仿宋_GB2312" w:eastAsia="仿宋_GB2312"/>
          <w:color w:val="000000"/>
          <w:sz w:val="32"/>
          <w:szCs w:val="32"/>
        </w:rPr>
        <w:t>；）。</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2022年，宝山镇严格按照《中华人民共和国政府信息公开条例》（以下简称《条例》）以及上级工作要求，开展了政府信息公开工作，现将工作报告如下</w:t>
      </w:r>
      <w:r>
        <w:rPr>
          <w:rFonts w:hint="eastAsia" w:ascii="仿宋_GB2312" w:hAnsi="黑体" w:eastAsia="仿宋_GB2312"/>
          <w:sz w:val="32"/>
          <w:szCs w:val="32"/>
        </w:rPr>
        <w:t>：</w:t>
      </w:r>
    </w:p>
    <w:p>
      <w:pPr>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仿宋_GB2312" w:hAnsi="黑体" w:eastAsia="仿宋_GB2312"/>
          <w:color w:val="000000"/>
          <w:kern w:val="2"/>
          <w:sz w:val="32"/>
          <w:szCs w:val="32"/>
          <w:lang w:val="en-US" w:eastAsia="zh-CN" w:bidi="ar-SA"/>
        </w:rPr>
        <w:t>2022年，宝山镇积极贯彻落实</w:t>
      </w:r>
      <w:r>
        <w:rPr>
          <w:rFonts w:hint="eastAsia" w:ascii="仿宋_GB2312" w:hAnsi="黑体" w:eastAsia="仿宋_GB2312"/>
          <w:color w:val="000000"/>
          <w:kern w:val="2"/>
          <w:sz w:val="32"/>
          <w:szCs w:val="32"/>
          <w:highlight w:val="none"/>
          <w:lang w:val="en-US" w:eastAsia="zh-CN" w:bidi="ar-SA"/>
        </w:rPr>
        <w:t>《中华人民共和国政府信息公开条例》</w:t>
      </w:r>
      <w:r>
        <w:rPr>
          <w:rFonts w:hint="eastAsia" w:ascii="仿宋_GB2312" w:hAnsi="黑体" w:eastAsia="仿宋_GB2312"/>
          <w:color w:val="000000"/>
          <w:kern w:val="2"/>
          <w:sz w:val="32"/>
          <w:szCs w:val="32"/>
          <w:lang w:val="en-US" w:eastAsia="zh-CN" w:bidi="ar-SA"/>
        </w:rPr>
        <w:t>的文件精神，紧抓“作风能力提升年”工作契机，坚持公开为常态、不公开为例外，努力做好政府信息公开。2022年初，第一时间组织召开政务公开专题会议，对上年的政府信息公开工作进行回顾总结并对下一步工作进行研究部署。在工作开展过程中，严格按照工作实施方案，稳步推进政务公开工作。进行2次政务公开业务培训，提升工作人员专业性，提高政府信息公开规范性。同时积极利用微信公众号等平台，为百姓搭建了与政府交互的窗口，展示宝山镇政府的工作内容，解读政策举措，宣传党的主张和大政方针。</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 w:val="0"/>
          <w:i w:val="0"/>
          <w:caps w:val="0"/>
          <w:color w:val="333333"/>
          <w:spacing w:val="0"/>
          <w:sz w:val="28"/>
          <w:szCs w:val="28"/>
          <w:highlight w:val="none"/>
          <w:shd w:val="clear" w:color="auto" w:fill="FFFFFF"/>
        </w:rPr>
      </w:pPr>
      <w:r>
        <w:rPr>
          <w:rFonts w:hint="eastAsia" w:ascii="楷体_GB2312" w:hAnsi="楷体_GB2312" w:eastAsia="楷体_GB2312" w:cs="楷体_GB2312"/>
          <w:color w:val="000000"/>
          <w:kern w:val="2"/>
          <w:sz w:val="32"/>
          <w:szCs w:val="32"/>
          <w:highlight w:val="none"/>
          <w:lang w:val="en-US" w:eastAsia="zh-CN" w:bidi="ar-SA"/>
        </w:rPr>
        <w:t>（一）主动公开工作：</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一是积极公开信息。</w:t>
      </w:r>
      <w:r>
        <w:rPr>
          <w:rFonts w:hint="eastAsia" w:ascii="仿宋_GB2312" w:hAnsi="黑体" w:eastAsia="仿宋_GB2312"/>
          <w:color w:val="000000"/>
          <w:kern w:val="2"/>
          <w:sz w:val="32"/>
          <w:szCs w:val="32"/>
          <w:lang w:val="en-US" w:eastAsia="zh-CN" w:bidi="ar-SA"/>
        </w:rPr>
        <w:t>2022年，结合工作实际，通过政务公开网站围绕政策解读、公示公告、会议公开、安全生产、三大攻坚战等重点领域主动公开政府信息70余条。通过“蓝莓小镇田园宝山”微信公众号和微博等新媒体发布信息400余条，其中包含疫情防控、安全生产领域工作信息154条。</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二是积极组织活动。</w:t>
      </w:r>
      <w:r>
        <w:rPr>
          <w:rFonts w:hint="eastAsia" w:ascii="仿宋_GB2312" w:hAnsi="黑体" w:eastAsia="仿宋_GB2312"/>
          <w:color w:val="000000"/>
          <w:kern w:val="2"/>
          <w:sz w:val="32"/>
          <w:szCs w:val="32"/>
          <w:lang w:val="en-US" w:eastAsia="zh-CN" w:bidi="ar-SA"/>
        </w:rPr>
        <w:t>先后在宝山镇蓝莓产业推广中心、便民服务大厅开展政务公开宣传活动，依托蓝莓专题授课开展政府开放日等活动。</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三是积极优化平台。</w:t>
      </w:r>
      <w:r>
        <w:rPr>
          <w:rFonts w:hint="eastAsia" w:ascii="仿宋_GB2312" w:hAnsi="黑体" w:eastAsia="仿宋_GB2312"/>
          <w:color w:val="000000"/>
          <w:kern w:val="2"/>
          <w:sz w:val="32"/>
          <w:szCs w:val="32"/>
          <w:lang w:val="en-US" w:eastAsia="zh-CN" w:bidi="ar-SA"/>
        </w:rPr>
        <w:t>于信息公开网站增设“重大决策事项目录、重大行政决策事项预公开、重大行政决策事项结果”三个目录板块，并上传相关内容，使政府信息公开网站结构更加科学化、合理化，保障公众知情权、表达、参与、监督权，增强群众对重大决策事项的参与感。</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color w:val="000000"/>
          <w:kern w:val="2"/>
          <w:sz w:val="32"/>
          <w:szCs w:val="32"/>
          <w:highlight w:val="none"/>
          <w:lang w:val="en-US" w:eastAsia="zh-CN" w:bidi="ar-SA"/>
        </w:rPr>
      </w:pPr>
      <w:r>
        <w:rPr>
          <w:rFonts w:hint="eastAsia" w:ascii="楷体_GB2312" w:hAnsi="楷体_GB2312" w:eastAsia="楷体_GB2312" w:cs="楷体_GB2312"/>
          <w:color w:val="000000"/>
          <w:kern w:val="2"/>
          <w:sz w:val="32"/>
          <w:szCs w:val="32"/>
          <w:highlight w:val="none"/>
          <w:lang w:val="en-US" w:eastAsia="zh-CN" w:bidi="ar-SA"/>
        </w:rPr>
        <w:t>（二）依申请公开工作</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color w:val="000000"/>
          <w:kern w:val="2"/>
          <w:sz w:val="32"/>
          <w:szCs w:val="32"/>
          <w:highlight w:val="none"/>
          <w:lang w:val="en-US" w:eastAsia="zh-CN" w:bidi="ar-SA"/>
        </w:rPr>
      </w:pPr>
      <w:r>
        <w:rPr>
          <w:rFonts w:hint="eastAsia" w:ascii="仿宋_GB2312" w:hAnsi="黑体" w:eastAsia="仿宋_GB2312"/>
          <w:color w:val="000000"/>
          <w:kern w:val="2"/>
          <w:sz w:val="32"/>
          <w:szCs w:val="32"/>
          <w:highlight w:val="none"/>
          <w:lang w:val="en-US" w:eastAsia="zh-CN" w:bidi="ar-SA"/>
        </w:rPr>
        <w:t>2022年我镇收到依申请公开0件。</w:t>
      </w:r>
    </w:p>
    <w:p>
      <w:pPr>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黑体" w:eastAsia="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（三）政府信息管理</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一是稳步推进信息公开工作。</w:t>
      </w:r>
      <w:r>
        <w:rPr>
          <w:rFonts w:hint="eastAsia" w:ascii="仿宋_GB2312" w:hAnsi="黑体" w:eastAsia="仿宋_GB2312"/>
          <w:color w:val="000000"/>
          <w:kern w:val="2"/>
          <w:sz w:val="32"/>
          <w:szCs w:val="32"/>
          <w:lang w:val="en-US" w:eastAsia="zh-CN" w:bidi="ar-SA"/>
        </w:rPr>
        <w:t>严格按照《中华人民共和国政府信息公开条例》规定，严格按照政府网站信息内容建设的规定、要求，严格实行信息发布审查工作。创新政务信息实施“三级联审制度”。各部门单位需发布或公开的信息，在本单位负责人进行审核把关后，将相关材料提报党政办公室，由党政办负责人再次进行审核，最终由分管党政成员审阅，决定是否进行发布，保证所提供的信息内容具备完整性、准确性、合法性。</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二是严密组织公开信息检查。</w:t>
      </w:r>
      <w:r>
        <w:rPr>
          <w:rFonts w:hint="eastAsia" w:ascii="仿宋_GB2312" w:hAnsi="黑体" w:eastAsia="仿宋_GB2312"/>
          <w:color w:val="000000"/>
          <w:kern w:val="2"/>
          <w:sz w:val="32"/>
          <w:szCs w:val="32"/>
          <w:lang w:val="en-US" w:eastAsia="zh-CN" w:bidi="ar-SA"/>
        </w:rPr>
        <w:t>安排专人负责政府公开信息的维护管理，每周进行登录检查，对发现的问题及时上报，通知相关人员进行整改处理，做到应公开尽公开，公开及时准确。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黑体" w:eastAsia="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（四）监督保障情况</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一是发挥职能。</w:t>
      </w:r>
      <w:r>
        <w:rPr>
          <w:rFonts w:hint="eastAsia" w:ascii="仿宋_GB2312" w:hAnsi="黑体" w:eastAsia="仿宋_GB2312"/>
          <w:color w:val="000000"/>
          <w:kern w:val="2"/>
          <w:sz w:val="32"/>
          <w:szCs w:val="32"/>
          <w:lang w:val="en-US" w:eastAsia="zh-CN" w:bidi="ar-SA"/>
        </w:rPr>
        <w:t>充分发挥政务公开领导小组职能，扎实开展工作，组织召开领导小组专题会议6次，调度信息公开工作，对发现的问题进行研判商讨，共解决9项问题。</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二是规范制度。</w:t>
      </w:r>
      <w:r>
        <w:rPr>
          <w:rFonts w:hint="eastAsia" w:ascii="仿宋_GB2312" w:hAnsi="黑体" w:eastAsia="仿宋_GB2312"/>
          <w:color w:val="000000"/>
          <w:kern w:val="2"/>
          <w:sz w:val="32"/>
          <w:szCs w:val="32"/>
          <w:lang w:val="en-US" w:eastAsia="zh-CN" w:bidi="ar-SA"/>
        </w:rPr>
        <w:t>制定《宝山镇负面清单管理办法》，对涉及政务公开事项做出明确规定。督查考核办定期进行督查，针对违反工作规定、出现重大失误等情况根据负面清单进行扣分处理。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（五）创新创优工作</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b w:val="0"/>
          <w:bCs w:val="0"/>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一是建立领导接访制度。</w:t>
      </w:r>
      <w:r>
        <w:rPr>
          <w:rFonts w:hint="eastAsia" w:ascii="仿宋_GB2312" w:hAnsi="黑体" w:eastAsia="仿宋_GB2312"/>
          <w:b w:val="0"/>
          <w:bCs w:val="0"/>
          <w:color w:val="000000"/>
          <w:kern w:val="2"/>
          <w:sz w:val="32"/>
          <w:szCs w:val="32"/>
          <w:lang w:val="en-US" w:eastAsia="zh-CN" w:bidi="ar-SA"/>
        </w:rPr>
        <w:t>设立一站式矛盾纠纷调解中心，设立领导接访制度。依托该中心完善知识库和常见问题清单，集合政策法规、业务知识、行业知识、通用知识等知识信息，工作人员通过接访有诉求的群众向其解答相关政策，与政务公开相结合，让政府信息公开更有温度。</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b w:val="0"/>
          <w:bCs w:val="0"/>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二是建设开放体验区。</w:t>
      </w:r>
      <w:r>
        <w:rPr>
          <w:rFonts w:hint="eastAsia" w:ascii="仿宋_GB2312" w:hAnsi="黑体" w:eastAsia="仿宋_GB2312"/>
          <w:b w:val="0"/>
          <w:bCs w:val="0"/>
          <w:color w:val="000000"/>
          <w:kern w:val="2"/>
          <w:sz w:val="32"/>
          <w:szCs w:val="32"/>
          <w:lang w:val="en-US" w:eastAsia="zh-CN" w:bidi="ar-SA"/>
        </w:rPr>
        <w:t>利用好人大代表工作站和原有的政府开放体验区。在原有体验区的基础上安排专人负责接待来访的群众，对来访群众进行现场的政策讲解，开展政府开放日活动，与群众就民生实事等方面进行热烈讨论。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color w:val="000000"/>
          <w:kern w:val="2"/>
          <w:sz w:val="32"/>
          <w:szCs w:val="32"/>
          <w:highlight w:val="none"/>
          <w:lang w:val="en-US" w:eastAsia="zh-CN" w:bidi="ar-SA"/>
        </w:rPr>
      </w:pPr>
      <w:r>
        <w:rPr>
          <w:rFonts w:hint="eastAsia" w:ascii="楷体_GB2312" w:hAnsi="楷体_GB2312" w:eastAsia="楷体_GB2312" w:cs="楷体_GB2312"/>
          <w:color w:val="000000"/>
          <w:kern w:val="2"/>
          <w:sz w:val="32"/>
          <w:szCs w:val="32"/>
          <w:highlight w:val="none"/>
          <w:lang w:val="en-US" w:eastAsia="zh-CN" w:bidi="ar-SA"/>
        </w:rPr>
        <w:t>（六）建议提案办理情况</w:t>
      </w:r>
    </w:p>
    <w:p>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2022年，宝山镇充分发挥政协委员自身优势，积极建言献策，共承接提案36件。其中民生民意相关提案5件，科教文卫9件，道路交通7件，环境整治</w:t>
      </w:r>
      <w:bookmarkStart w:id="0" w:name="_GoBack"/>
      <w:bookmarkEnd w:id="0"/>
      <w:r>
        <w:rPr>
          <w:rFonts w:hint="eastAsia" w:ascii="仿宋_GB2312" w:hAnsi="黑体" w:eastAsia="仿宋_GB2312"/>
          <w:sz w:val="32"/>
          <w:szCs w:val="32"/>
          <w:highlight w:val="none"/>
        </w:rPr>
        <w:t>1件，营商环境8件，法制建设1件，疫情防控2件，其他3件，办复率、面复率、落实率为100%。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color w:val="000000"/>
          <w:kern w:val="2"/>
          <w:sz w:val="32"/>
          <w:szCs w:val="32"/>
          <w:highlight w:val="none"/>
          <w:lang w:val="en-US" w:eastAsia="zh-CN" w:bidi="ar-SA"/>
        </w:rPr>
      </w:pPr>
      <w:r>
        <w:rPr>
          <w:rFonts w:hint="eastAsia" w:ascii="仿宋_GB2312" w:hAnsi="黑体" w:eastAsia="仿宋_GB2312"/>
          <w:sz w:val="32"/>
          <w:szCs w:val="32"/>
          <w:highlight w:val="none"/>
        </w:rPr>
        <w:t>2022年，宝山镇承接人大代表建议12件，其中乡村振兴相关建议4件，科教文卫2件，道路交通2件，疫情防控建议1件，其他3件，办复率、面复率、落实率为100%。</w:t>
      </w:r>
    </w:p>
    <w:p>
      <w:pPr>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平台建设工作</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一是查漏补缺。</w:t>
      </w:r>
      <w:r>
        <w:rPr>
          <w:rFonts w:hint="eastAsia" w:ascii="仿宋_GB2312" w:hAnsi="黑体" w:eastAsia="仿宋_GB2312"/>
          <w:color w:val="000000"/>
          <w:kern w:val="2"/>
          <w:sz w:val="32"/>
          <w:szCs w:val="32"/>
          <w:lang w:val="en-US" w:eastAsia="zh-CN" w:bidi="ar-SA"/>
        </w:rPr>
        <w:t>根据上级开设的培训会议内容，我镇对上传发布的内容、框架进行优化完善。</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二是加强组织领导。</w:t>
      </w:r>
      <w:r>
        <w:rPr>
          <w:rFonts w:hint="eastAsia" w:ascii="仿宋_GB2312" w:hAnsi="黑体" w:eastAsia="仿宋_GB2312"/>
          <w:color w:val="000000"/>
          <w:kern w:val="2"/>
          <w:sz w:val="32"/>
          <w:szCs w:val="32"/>
          <w:lang w:val="en-US" w:eastAsia="zh-CN" w:bidi="ar-SA"/>
        </w:rPr>
        <w:t>我镇根据人员变动情况和工作需要调整充实政务公开工作领导小组，建立“主要领导亲自抓、分管领导具体抓、职能科室抓落实”的工作机制，有效保证政务公开工作的有序进行。</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三是健全完善制度。</w:t>
      </w:r>
      <w:r>
        <w:rPr>
          <w:rFonts w:hint="eastAsia" w:ascii="仿宋_GB2312" w:hAnsi="黑体" w:eastAsia="仿宋_GB2312"/>
          <w:color w:val="000000"/>
          <w:kern w:val="2"/>
          <w:sz w:val="32"/>
          <w:szCs w:val="32"/>
          <w:lang w:val="en-US" w:eastAsia="zh-CN" w:bidi="ar-SA"/>
        </w:rPr>
        <w:t>今年以来，我镇着力推进本单位政务公开工作的制度化、规范化。进一步完善《宝山镇政务公开工作制度》并按制度要求认真执行。</w:t>
      </w:r>
    </w:p>
    <w:p>
      <w:pPr>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highlight w:val="none"/>
          <w:lang w:val="en-US" w:eastAsia="zh-CN" w:bidi="ar-SA"/>
        </w:rPr>
      </w:pPr>
      <w:r>
        <w:rPr>
          <w:rFonts w:hint="eastAsia" w:ascii="仿宋_GB2312" w:hAnsi="黑体" w:eastAsia="仿宋_GB2312"/>
          <w:b/>
          <w:bCs/>
          <w:color w:val="000000"/>
          <w:kern w:val="2"/>
          <w:sz w:val="32"/>
          <w:szCs w:val="32"/>
          <w:lang w:val="en-US" w:eastAsia="zh-CN" w:bidi="ar-SA"/>
        </w:rPr>
        <w:t>四是严格保密审查。</w:t>
      </w:r>
      <w:r>
        <w:rPr>
          <w:rFonts w:hint="eastAsia" w:ascii="仿宋_GB2312" w:hAnsi="黑体" w:eastAsia="仿宋_GB2312"/>
          <w:color w:val="000000"/>
          <w:kern w:val="2"/>
          <w:sz w:val="32"/>
          <w:szCs w:val="32"/>
          <w:lang w:val="en-US" w:eastAsia="zh-CN" w:bidi="ar-SA"/>
        </w:rPr>
        <w:t>我镇高度重视政务公开保密管理，按照区委保密办相关规定，结合本单位保密工作制度，进一步完善信息公开保密工作机制，明确职责、程序、公开方式和时限要求，对各类信息进行严格审核，切实做到“上网信息不涉密，涉密信息不上网”，确保我单位完成信息公开任务的同时，不发生失泄密</w:t>
      </w:r>
      <w:r>
        <w:rPr>
          <w:rFonts w:hint="eastAsia" w:ascii="仿宋_GB2312" w:hAnsi="黑体" w:eastAsia="仿宋_GB2312"/>
          <w:color w:val="000000"/>
          <w:kern w:val="2"/>
          <w:sz w:val="32"/>
          <w:szCs w:val="32"/>
          <w:highlight w:val="none"/>
          <w:lang w:val="en-US" w:eastAsia="zh-CN" w:bidi="ar-SA"/>
        </w:rPr>
        <w:t>问题。</w:t>
      </w:r>
    </w:p>
    <w:p>
      <w:pPr>
        <w:numPr>
          <w:ilvl w:val="0"/>
          <w:numId w:val="0"/>
        </w:numPr>
        <w:snapToGrid w:val="0"/>
        <w:spacing w:line="560" w:lineRule="exact"/>
        <w:ind w:left="420" w:leftChars="0" w:firstLine="320" w:firstLineChars="100"/>
        <w:jc w:val="left"/>
        <w:rPr>
          <w:rFonts w:hint="eastAsia" w:ascii="黑体" w:hAnsi="黑体" w:eastAsia="黑体"/>
          <w:color w:val="000000"/>
          <w:sz w:val="32"/>
          <w:szCs w:val="32"/>
          <w:highlight w:val="none"/>
        </w:rPr>
      </w:pPr>
      <w:r>
        <w:rPr>
          <w:rFonts w:hint="eastAsia" w:ascii="黑体" w:hAnsi="黑体" w:eastAsia="黑体"/>
          <w:color w:val="000000"/>
          <w:sz w:val="32"/>
          <w:szCs w:val="32"/>
          <w:highlight w:val="none"/>
          <w:lang w:eastAsia="zh-CN"/>
        </w:rPr>
        <w:t>二、</w:t>
      </w:r>
      <w:r>
        <w:rPr>
          <w:rFonts w:hint="eastAsia" w:ascii="黑体" w:hAnsi="黑体" w:eastAsia="黑体"/>
          <w:color w:val="000000"/>
          <w:sz w:val="32"/>
          <w:szCs w:val="32"/>
          <w:highlight w:val="none"/>
        </w:rPr>
        <w:t>主动公开政府信息情况</w:t>
      </w:r>
      <w:r>
        <w:rPr>
          <w:rFonts w:hint="eastAsia" w:ascii="黑体" w:hAnsi="黑体" w:eastAsia="黑体"/>
          <w:color w:val="000000"/>
          <w:sz w:val="32"/>
          <w:szCs w:val="32"/>
          <w:highlight w:val="none"/>
          <w:lang w:val="en-US" w:eastAsia="zh-CN"/>
        </w:rPr>
        <w:t xml:space="preserve"> </w:t>
      </w:r>
    </w:p>
    <w:p>
      <w:pPr>
        <w:snapToGrid w:val="0"/>
        <w:spacing w:line="220" w:lineRule="exact"/>
        <w:jc w:val="left"/>
        <w:rPr>
          <w:rFonts w:hint="eastAsia" w:ascii="黑体" w:hAnsi="黑体" w:eastAsia="黑体"/>
          <w:color w:val="000000"/>
          <w:sz w:val="16"/>
          <w:szCs w:val="16"/>
          <w:highlight w:val="none"/>
        </w:rPr>
      </w:pPr>
    </w:p>
    <w:p>
      <w:pPr>
        <w:snapToGrid w:val="0"/>
        <w:spacing w:line="220" w:lineRule="exact"/>
        <w:jc w:val="left"/>
        <w:rPr>
          <w:rFonts w:hint="eastAsia" w:ascii="黑体" w:hAnsi="黑体" w:eastAsia="黑体"/>
          <w:color w:val="000000"/>
          <w:sz w:val="16"/>
          <w:szCs w:val="16"/>
        </w:rPr>
      </w:pPr>
    </w:p>
    <w:p>
      <w:pPr>
        <w:snapToGrid w:val="0"/>
        <w:spacing w:line="220" w:lineRule="exact"/>
        <w:jc w:val="left"/>
        <w:rPr>
          <w:rFonts w:hint="eastAsia" w:ascii="黑体" w:hAnsi="黑体" w:eastAsia="黑体"/>
          <w:color w:val="000000"/>
          <w:sz w:val="16"/>
          <w:szCs w:val="16"/>
        </w:rPr>
      </w:pPr>
    </w:p>
    <w:tbl>
      <w:tblPr>
        <w:tblStyle w:val="6"/>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40"/>
        <w:gridCol w:w="6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9039" w:type="dxa"/>
            <w:gridSpan w:val="2"/>
            <w:noWrap/>
            <w:vAlign w:val="center"/>
          </w:tcPr>
          <w:p>
            <w:pPr>
              <w:jc w:val="center"/>
              <w:rPr>
                <w:rFonts w:hint="eastAsia" w:ascii="黑体" w:hAnsi="黑体" w:eastAsia="黑体"/>
                <w:sz w:val="22"/>
                <w:szCs w:val="22"/>
              </w:rPr>
            </w:pPr>
            <w:r>
              <w:rPr>
                <w:rFonts w:hint="eastAsia" w:ascii="黑体" w:hAnsi="黑体" w:eastAsia="黑体"/>
                <w:sz w:val="22"/>
                <w:szCs w:val="22"/>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信息内容</w:t>
            </w:r>
          </w:p>
        </w:tc>
        <w:tc>
          <w:tcPr>
            <w:tcW w:w="6499" w:type="dxa"/>
            <w:noWrap/>
            <w:vAlign w:val="center"/>
          </w:tcPr>
          <w:p>
            <w:pPr>
              <w:jc w:val="center"/>
              <w:rPr>
                <w:rFonts w:hint="eastAsia" w:ascii="黑体" w:hAnsi="黑体" w:eastAsia="黑体"/>
                <w:sz w:val="22"/>
                <w:szCs w:val="22"/>
              </w:rPr>
            </w:pPr>
            <w:r>
              <w:rPr>
                <w:rFonts w:hint="eastAsia" w:ascii="黑体" w:hAnsi="黑体" w:eastAsia="黑体"/>
                <w:sz w:val="22"/>
                <w:szCs w:val="22"/>
                <w:lang w:eastAsia="zh-CN"/>
              </w:rPr>
              <w:t>本年</w:t>
            </w:r>
            <w:r>
              <w:rPr>
                <w:rFonts w:hint="eastAsia" w:ascii="黑体" w:hAnsi="黑体" w:eastAsia="黑体"/>
                <w:sz w:val="22"/>
                <w:szCs w:val="22"/>
              </w:rPr>
              <w:t>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行政许可</w:t>
            </w:r>
          </w:p>
        </w:tc>
        <w:tc>
          <w:tcPr>
            <w:tcW w:w="6499" w:type="dxa"/>
            <w:noWrap/>
            <w:vAlign w:val="center"/>
          </w:tcPr>
          <w:p>
            <w:pPr>
              <w:jc w:val="center"/>
              <w:rPr>
                <w:rFonts w:hint="default" w:ascii="黑体" w:hAnsi="黑体" w:eastAsia="黑体"/>
                <w:color w:val="FF0000"/>
                <w:sz w:val="22"/>
                <w:szCs w:val="22"/>
                <w:lang w:val="en-US" w:eastAsia="zh-CN"/>
              </w:rPr>
            </w:pPr>
            <w:r>
              <w:rPr>
                <w:rFonts w:hint="eastAsia" w:ascii="黑体" w:hAnsi="黑体" w:eastAsia="黑体"/>
                <w:sz w:val="22"/>
                <w:szCs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039" w:type="dxa"/>
            <w:gridSpan w:val="2"/>
            <w:noWrap/>
            <w:vAlign w:val="center"/>
          </w:tcPr>
          <w:p>
            <w:pPr>
              <w:jc w:val="center"/>
              <w:rPr>
                <w:rFonts w:hint="eastAsia" w:ascii="黑体" w:hAnsi="黑体" w:eastAsia="黑体"/>
                <w:sz w:val="22"/>
                <w:szCs w:val="22"/>
              </w:rPr>
            </w:pPr>
            <w:r>
              <w:rPr>
                <w:rFonts w:hint="eastAsia" w:ascii="黑体" w:hAnsi="黑体" w:eastAsia="黑体"/>
                <w:sz w:val="22"/>
                <w:szCs w:val="22"/>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信息内容</w:t>
            </w:r>
          </w:p>
        </w:tc>
        <w:tc>
          <w:tcPr>
            <w:tcW w:w="6499" w:type="dxa"/>
            <w:noWrap/>
            <w:vAlign w:val="center"/>
          </w:tcPr>
          <w:p>
            <w:pPr>
              <w:jc w:val="center"/>
              <w:rPr>
                <w:rFonts w:hint="eastAsia" w:ascii="黑体" w:hAnsi="黑体" w:eastAsia="黑体"/>
                <w:sz w:val="22"/>
                <w:szCs w:val="22"/>
              </w:rPr>
            </w:pPr>
            <w:r>
              <w:rPr>
                <w:rFonts w:hint="eastAsia" w:ascii="黑体" w:hAnsi="黑体" w:eastAsia="黑体"/>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行政处罚</w:t>
            </w:r>
          </w:p>
        </w:tc>
        <w:tc>
          <w:tcPr>
            <w:tcW w:w="6499" w:type="dxa"/>
            <w:noWrap/>
            <w:vAlign w:val="center"/>
          </w:tcPr>
          <w:p>
            <w:pPr>
              <w:jc w:val="center"/>
              <w:rPr>
                <w:rFonts w:hint="eastAsia" w:ascii="黑体" w:hAnsi="黑体" w:eastAsia="黑体"/>
                <w:sz w:val="22"/>
                <w:szCs w:val="22"/>
                <w:lang w:val="en-US" w:eastAsia="zh-CN"/>
              </w:rPr>
            </w:pPr>
            <w:r>
              <w:rPr>
                <w:rFonts w:hint="eastAsia" w:ascii="黑体" w:hAnsi="黑体" w:eastAsia="黑体"/>
                <w:sz w:val="22"/>
                <w:szCs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行政强制</w:t>
            </w:r>
          </w:p>
        </w:tc>
        <w:tc>
          <w:tcPr>
            <w:tcW w:w="6499" w:type="dxa"/>
            <w:noWrap/>
            <w:vAlign w:val="center"/>
          </w:tcPr>
          <w:p>
            <w:pPr>
              <w:jc w:val="center"/>
              <w:rPr>
                <w:rFonts w:hint="eastAsia" w:ascii="黑体" w:hAnsi="黑体" w:eastAsia="黑体"/>
                <w:sz w:val="22"/>
                <w:szCs w:val="22"/>
                <w:lang w:val="en-US" w:eastAsia="zh-CN"/>
              </w:rPr>
            </w:pPr>
            <w:r>
              <w:rPr>
                <w:rFonts w:hint="eastAsia" w:ascii="黑体" w:hAnsi="黑体" w:eastAsia="黑体"/>
                <w:sz w:val="22"/>
                <w:szCs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9039" w:type="dxa"/>
            <w:gridSpan w:val="2"/>
            <w:noWrap/>
            <w:vAlign w:val="center"/>
          </w:tcPr>
          <w:p>
            <w:pPr>
              <w:jc w:val="center"/>
              <w:rPr>
                <w:rFonts w:hint="eastAsia" w:ascii="黑体" w:hAnsi="黑体" w:eastAsia="黑体"/>
                <w:sz w:val="22"/>
                <w:szCs w:val="22"/>
              </w:rPr>
            </w:pPr>
            <w:r>
              <w:rPr>
                <w:rFonts w:hint="eastAsia" w:ascii="黑体" w:hAnsi="黑体" w:eastAsia="黑体"/>
                <w:sz w:val="22"/>
                <w:szCs w:val="22"/>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信息内容</w:t>
            </w:r>
          </w:p>
        </w:tc>
        <w:tc>
          <w:tcPr>
            <w:tcW w:w="6499" w:type="dxa"/>
            <w:noWrap/>
            <w:vAlign w:val="center"/>
          </w:tcPr>
          <w:p>
            <w:pPr>
              <w:jc w:val="center"/>
              <w:rPr>
                <w:rFonts w:hint="eastAsia" w:ascii="黑体" w:hAnsi="黑体" w:eastAsia="黑体"/>
                <w:sz w:val="22"/>
                <w:szCs w:val="22"/>
                <w:lang w:eastAsia="zh-CN"/>
              </w:rPr>
            </w:pPr>
            <w:r>
              <w:rPr>
                <w:rFonts w:hint="eastAsia" w:ascii="黑体" w:hAnsi="黑体" w:eastAsia="黑体"/>
                <w:sz w:val="22"/>
                <w:szCs w:val="22"/>
              </w:rPr>
              <w:t>本年</w:t>
            </w:r>
            <w:r>
              <w:rPr>
                <w:rFonts w:hint="eastAsia" w:ascii="黑体" w:hAnsi="黑体" w:eastAsia="黑体"/>
                <w:sz w:val="22"/>
                <w:szCs w:val="22"/>
                <w:lang w:eastAsia="zh-CN"/>
              </w:rPr>
              <w:t>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2540" w:type="dxa"/>
            <w:noWrap/>
            <w:vAlign w:val="center"/>
          </w:tcPr>
          <w:p>
            <w:pPr>
              <w:jc w:val="center"/>
              <w:rPr>
                <w:rFonts w:hint="eastAsia" w:ascii="黑体" w:hAnsi="黑体" w:eastAsia="黑体"/>
                <w:sz w:val="22"/>
                <w:szCs w:val="22"/>
              </w:rPr>
            </w:pPr>
            <w:r>
              <w:rPr>
                <w:rFonts w:hint="eastAsia" w:ascii="黑体" w:hAnsi="黑体" w:eastAsia="黑体"/>
                <w:sz w:val="22"/>
                <w:szCs w:val="22"/>
              </w:rPr>
              <w:t>行政事业性收费</w:t>
            </w:r>
          </w:p>
        </w:tc>
        <w:tc>
          <w:tcPr>
            <w:tcW w:w="6499" w:type="dxa"/>
            <w:noWrap/>
            <w:vAlign w:val="center"/>
          </w:tcPr>
          <w:p>
            <w:pPr>
              <w:jc w:val="center"/>
              <w:rPr>
                <w:rFonts w:hint="eastAsia" w:ascii="黑体" w:hAnsi="黑体" w:eastAsia="黑体"/>
                <w:sz w:val="22"/>
                <w:szCs w:val="22"/>
                <w:lang w:val="en-US" w:eastAsia="zh-CN"/>
              </w:rPr>
            </w:pPr>
            <w:r>
              <w:rPr>
                <w:rFonts w:hint="eastAsia" w:ascii="黑体" w:hAnsi="黑体" w:eastAsia="黑体"/>
                <w:sz w:val="22"/>
                <w:szCs w:val="22"/>
                <w:lang w:val="en-US" w:eastAsia="zh-CN"/>
              </w:rPr>
              <w:t>0</w:t>
            </w:r>
          </w:p>
        </w:tc>
      </w:tr>
    </w:tbl>
    <w:p>
      <w:pPr>
        <w:snapToGrid w:val="0"/>
        <w:spacing w:line="560" w:lineRule="exact"/>
        <w:jc w:val="left"/>
        <w:rPr>
          <w:rFonts w:hint="eastAsia" w:ascii="黑体" w:hAnsi="黑体" w:eastAsia="黑体"/>
          <w:color w:val="000000"/>
          <w:sz w:val="32"/>
          <w:szCs w:val="32"/>
        </w:rPr>
      </w:pPr>
      <w:r>
        <w:rPr>
          <w:rFonts w:hint="eastAsia" w:ascii="黑体" w:hAnsi="黑体" w:eastAsia="黑体"/>
          <w:color w:val="000000"/>
          <w:sz w:val="32"/>
          <w:szCs w:val="32"/>
        </w:rPr>
        <w:t>　</w:t>
      </w:r>
    </w:p>
    <w:p>
      <w:pPr>
        <w:snapToGrid w:val="0"/>
        <w:spacing w:line="560" w:lineRule="exact"/>
        <w:jc w:val="left"/>
        <w:rPr>
          <w:rFonts w:hint="eastAsia" w:ascii="黑体" w:hAnsi="黑体" w:eastAsia="黑体"/>
          <w:color w:val="000000"/>
          <w:sz w:val="32"/>
          <w:szCs w:val="32"/>
        </w:rPr>
      </w:pPr>
      <w:r>
        <w:rPr>
          <w:rFonts w:hint="eastAsia" w:ascii="黑体" w:hAnsi="黑体" w:eastAsia="黑体"/>
          <w:color w:val="000000"/>
          <w:sz w:val="32"/>
          <w:szCs w:val="32"/>
        </w:rPr>
        <w:t>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三、收到和处理政府信息公开申请情况</w:t>
      </w:r>
    </w:p>
    <w:p>
      <w:pPr>
        <w:snapToGrid w:val="0"/>
        <w:spacing w:line="220" w:lineRule="exact"/>
        <w:jc w:val="left"/>
        <w:rPr>
          <w:rFonts w:ascii="黑体" w:hAnsi="黑体" w:eastAsia="黑体"/>
          <w:color w:val="000000"/>
          <w:sz w:val="32"/>
          <w:szCs w:val="32"/>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6"/>
        <w:gridCol w:w="876"/>
        <w:gridCol w:w="2063"/>
        <w:gridCol w:w="807"/>
        <w:gridCol w:w="750"/>
        <w:gridCol w:w="750"/>
        <w:gridCol w:w="807"/>
        <w:gridCol w:w="965"/>
        <w:gridCol w:w="707"/>
        <w:gridCol w:w="6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（本列数据的勾稽关系为：第一项加第二项之和，等于第三项加第四项之和）</w:t>
            </w:r>
          </w:p>
        </w:tc>
        <w:tc>
          <w:tcPr>
            <w:tcW w:w="5476"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07" w:type="dxa"/>
            <w:vMerge w:val="restart"/>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自然人</w:t>
            </w:r>
          </w:p>
        </w:tc>
        <w:tc>
          <w:tcPr>
            <w:tcW w:w="397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法人或其他组织</w:t>
            </w:r>
          </w:p>
        </w:tc>
        <w:tc>
          <w:tcPr>
            <w:tcW w:w="69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07"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750"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商业企业</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科研机构</w:t>
            </w:r>
          </w:p>
        </w:tc>
        <w:tc>
          <w:tcPr>
            <w:tcW w:w="807"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社会公益组织</w:t>
            </w:r>
          </w:p>
        </w:tc>
        <w:tc>
          <w:tcPr>
            <w:tcW w:w="965"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法律服务机构</w:t>
            </w:r>
          </w:p>
        </w:tc>
        <w:tc>
          <w:tcPr>
            <w:tcW w:w="707" w:type="dxa"/>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其他</w:t>
            </w:r>
          </w:p>
        </w:tc>
        <w:tc>
          <w:tcPr>
            <w:tcW w:w="69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一、本年新收政府信息公开申请数量</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二、上年结转政府信息公开申请数量</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三、本年度办理结果</w:t>
            </w: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ascii="黑体" w:hAnsi="黑体" w:eastAsia="黑体"/>
                <w:sz w:val="22"/>
                <w:szCs w:val="22"/>
              </w:rPr>
              <w:t>（一）予以公开</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（二）部分公开（区分处理的，只计这一情形，不计其他情形）</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restart"/>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（三）不予公开</w:t>
            </w: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1.属于国家秘密</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2.其他法律行政法规禁止公开</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3.危及“三安全一稳定”</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4.保护第三方合法权益</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5.属于三类内部事务信息</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6.属于四类过程性信息</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7.属于行政执法案卷</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8.属于行政查询事项</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restart"/>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（四）无法提供</w:t>
            </w: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1.本机关不掌握相关政府信息</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2.没有现成信息需要另行制作</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3.补正后申请内容仍不明确</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restart"/>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（五）不予处理</w:t>
            </w: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1.信访举报投诉类申请</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2.重复申请</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3.要求提供公开出版物</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4.无正当理由大量反复申请</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5.要求行政机关确认或重新出具已获取信息</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restart"/>
            <w:tcBorders>
              <w:top w:val="nil"/>
              <w:left w:val="nil"/>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（六）其他处理</w:t>
            </w: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黑体" w:hAnsi="黑体" w:eastAsia="黑体"/>
                <w:sz w:val="22"/>
                <w:szCs w:val="22"/>
                <w:lang w:val="en-US" w:eastAsia="zh-CN"/>
              </w:rPr>
            </w:pPr>
            <w:r>
              <w:rPr>
                <w:rFonts w:hint="eastAsia" w:ascii="黑体" w:hAnsi="黑体" w:eastAsia="黑体"/>
                <w:sz w:val="22"/>
                <w:szCs w:val="22"/>
                <w:lang w:val="en-US" w:eastAsia="zh-CN"/>
              </w:rPr>
              <w:t>1.申请人无正当理由逾期不补正、行政机关不再处理其政府信息公开申请</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left w:val="nil"/>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黑体" w:hAnsi="黑体" w:eastAsia="黑体"/>
                <w:sz w:val="22"/>
                <w:szCs w:val="22"/>
                <w:lang w:val="en-US" w:eastAsia="zh-CN"/>
              </w:rPr>
            </w:pPr>
            <w:r>
              <w:rPr>
                <w:rFonts w:hint="eastAsia" w:ascii="黑体" w:hAnsi="黑体" w:eastAsia="黑体"/>
                <w:sz w:val="22"/>
                <w:szCs w:val="22"/>
                <w:lang w:val="en-US" w:eastAsia="zh-CN"/>
              </w:rPr>
              <w:t>2.申请人逾期未按收费通知要求缴纳费用、行政机关不再处理其他政府信息公开申请</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876" w:type="dxa"/>
            <w:vMerge w:val="continue"/>
            <w:tcBorders>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063"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黑体" w:hAnsi="黑体" w:eastAsia="黑体"/>
                <w:sz w:val="22"/>
                <w:szCs w:val="22"/>
                <w:lang w:val="en-US" w:eastAsia="zh-CN"/>
              </w:rPr>
            </w:pPr>
            <w:r>
              <w:rPr>
                <w:rFonts w:hint="eastAsia" w:ascii="黑体" w:hAnsi="黑体" w:eastAsia="黑体"/>
                <w:sz w:val="22"/>
                <w:szCs w:val="22"/>
                <w:lang w:val="en-US" w:eastAsia="zh-CN"/>
              </w:rPr>
              <w:t>3.其他</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（七）总计</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r>
              <w:rPr>
                <w:rFonts w:hint="eastAsia" w:ascii="黑体" w:hAnsi="黑体" w:eastAsia="黑体"/>
                <w:sz w:val="22"/>
                <w:szCs w:val="22"/>
              </w:rPr>
              <w:t>四、结转下年度继续办理</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8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96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707"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9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ascii="黑体" w:hAnsi="黑体" w:eastAsia="黑体"/>
                <w:sz w:val="22"/>
                <w:szCs w:val="22"/>
                <w:lang w:val="en-US" w:eastAsia="zh-CN"/>
              </w:rPr>
              <w:t>0</w:t>
            </w:r>
          </w:p>
        </w:tc>
      </w:tr>
    </w:tbl>
    <w:p>
      <w:pPr>
        <w:snapToGrid w:val="0"/>
        <w:spacing w:line="420" w:lineRule="exact"/>
        <w:jc w:val="left"/>
        <w:rPr>
          <w:rFonts w:hint="eastAsia" w:ascii="黑体" w:hAnsi="黑体" w:eastAsia="黑体"/>
          <w:color w:val="000000"/>
          <w:sz w:val="32"/>
          <w:szCs w:val="32"/>
        </w:rPr>
      </w:pPr>
      <w:r>
        <w:rPr>
          <w:rFonts w:hint="eastAsia" w:ascii="仿宋_GB2312" w:hAnsi="宋体" w:eastAsia="仿宋_GB2312" w:cs="宋体"/>
          <w:color w:val="333333"/>
          <w:kern w:val="0"/>
          <w:sz w:val="22"/>
          <w:szCs w:val="22"/>
          <w:shd w:val="clear" w:color="auto" w:fill="FFFFFF"/>
        </w:rPr>
        <w:t>　</w:t>
      </w:r>
      <w:r>
        <w:rPr>
          <w:rFonts w:hint="eastAsia" w:ascii="黑体" w:hAnsi="黑体" w:eastAsia="黑体"/>
          <w:color w:val="000000"/>
          <w:sz w:val="32"/>
          <w:szCs w:val="32"/>
        </w:rPr>
        <w:t xml:space="preserve">  </w:t>
      </w:r>
    </w:p>
    <w:p>
      <w:pPr>
        <w:snapToGrid w:val="0"/>
        <w:spacing w:line="420" w:lineRule="exact"/>
        <w:jc w:val="left"/>
        <w:rPr>
          <w:rFonts w:hint="eastAsia" w:ascii="黑体" w:hAnsi="黑体" w:eastAsia="黑体"/>
          <w:color w:val="000000"/>
          <w:sz w:val="32"/>
          <w:szCs w:val="32"/>
        </w:rPr>
      </w:pPr>
    </w:p>
    <w:p>
      <w:pPr>
        <w:snapToGrid w:val="0"/>
        <w:spacing w:line="420" w:lineRule="exact"/>
        <w:jc w:val="left"/>
        <w:rPr>
          <w:rFonts w:hint="eastAsia" w:ascii="黑体" w:hAnsi="黑体" w:eastAsia="黑体"/>
          <w:color w:val="000000"/>
          <w:sz w:val="32"/>
          <w:szCs w:val="32"/>
        </w:rPr>
      </w:pPr>
      <w:r>
        <w:rPr>
          <w:rFonts w:hint="eastAsia" w:ascii="黑体" w:hAnsi="黑体" w:eastAsia="黑体"/>
          <w:color w:val="000000"/>
          <w:sz w:val="32"/>
          <w:szCs w:val="32"/>
        </w:rPr>
        <w:t xml:space="preserve"> </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四、政府信息公开行政复议、行政诉讼情况</w:t>
      </w:r>
    </w:p>
    <w:p>
      <w:pPr>
        <w:snapToGrid w:val="0"/>
        <w:spacing w:line="220" w:lineRule="exact"/>
        <w:jc w:val="left"/>
        <w:rPr>
          <w:rFonts w:ascii="黑体" w:hAnsi="黑体" w:eastAsia="黑体"/>
          <w:color w:val="000000"/>
          <w:sz w:val="32"/>
          <w:szCs w:val="32"/>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2"/>
                <w:szCs w:val="22"/>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2"/>
                <w:szCs w:val="22"/>
              </w:rPr>
            </w:pPr>
            <w:r>
              <w:rPr>
                <w:rFonts w:hint="eastAsia" w:ascii="黑体" w:hAnsi="黑体" w:eastAsia="黑体"/>
                <w:sz w:val="22"/>
                <w:szCs w:val="2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eastAsia="黑体"/>
                <w:sz w:val="22"/>
                <w:szCs w:val="22"/>
              </w:rPr>
              <w:t> </w:t>
            </w:r>
            <w:r>
              <w:rPr>
                <w:rFonts w:hint="eastAsia" w:eastAsia="黑体"/>
                <w:sz w:val="22"/>
                <w:szCs w:val="22"/>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黑体" w:hAnsi="黑体" w:eastAsia="黑体"/>
                <w:sz w:val="22"/>
                <w:szCs w:val="22"/>
                <w:lang w:val="en-US" w:eastAsia="zh-CN"/>
              </w:rPr>
            </w:pPr>
            <w:r>
              <w:rPr>
                <w:rFonts w:eastAsia="黑体"/>
                <w:sz w:val="22"/>
                <w:szCs w:val="22"/>
              </w:rPr>
              <w:t> </w:t>
            </w:r>
            <w:r>
              <w:rPr>
                <w:rFonts w:hint="eastAsia" w:eastAsia="黑体"/>
                <w:sz w:val="22"/>
                <w:szCs w:val="22"/>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eastAsia="黑体"/>
                <w:sz w:val="22"/>
                <w:szCs w:val="22"/>
              </w:rPr>
              <w:t> </w:t>
            </w:r>
            <w:r>
              <w:rPr>
                <w:rFonts w:hint="eastAsia" w:eastAsia="黑体"/>
                <w:sz w:val="22"/>
                <w:szCs w:val="22"/>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eastAsia="黑体"/>
                <w:sz w:val="22"/>
                <w:szCs w:val="22"/>
              </w:rPr>
              <w:t> </w:t>
            </w:r>
            <w:r>
              <w:rPr>
                <w:rFonts w:hint="eastAsia" w:eastAsia="黑体"/>
                <w:sz w:val="22"/>
                <w:szCs w:val="22"/>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eastAsia="黑体"/>
                <w:sz w:val="22"/>
                <w:szCs w:val="22"/>
              </w:rPr>
              <w:t> </w:t>
            </w:r>
            <w:r>
              <w:rPr>
                <w:rFonts w:hint="eastAsia" w:eastAsia="黑体"/>
                <w:sz w:val="22"/>
                <w:szCs w:val="22"/>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eastAsia="黑体"/>
                <w:sz w:val="22"/>
                <w:szCs w:val="22"/>
              </w:rPr>
              <w:t> </w:t>
            </w: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eastAsia="黑体"/>
                <w:sz w:val="22"/>
                <w:szCs w:val="22"/>
              </w:rPr>
              <w:t> </w:t>
            </w: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sz w:val="22"/>
                <w:szCs w:val="22"/>
                <w:lang w:val="en-US" w:eastAsia="zh-CN"/>
              </w:rPr>
            </w:pP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eastAsia="黑体"/>
                <w:sz w:val="22"/>
                <w:szCs w:val="22"/>
              </w:rPr>
              <w:t> </w:t>
            </w: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eastAsia="黑体"/>
                <w:sz w:val="22"/>
                <w:szCs w:val="22"/>
              </w:rPr>
              <w:t> </w:t>
            </w:r>
            <w:r>
              <w:rPr>
                <w:rFonts w:hint="eastAsia" w:eastAsia="黑体"/>
                <w:sz w:val="22"/>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eastAsia="黑体"/>
                <w:sz w:val="22"/>
                <w:szCs w:val="22"/>
              </w:rPr>
              <w:t> </w:t>
            </w:r>
            <w:r>
              <w:rPr>
                <w:rFonts w:hint="eastAsia" w:eastAsia="黑体"/>
                <w:sz w:val="22"/>
                <w:szCs w:val="22"/>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eastAsia="黑体"/>
                <w:sz w:val="22"/>
                <w:szCs w:val="22"/>
              </w:rPr>
              <w:t> </w:t>
            </w:r>
            <w:r>
              <w:rPr>
                <w:rFonts w:hint="eastAsia" w:eastAsia="黑体"/>
                <w:sz w:val="22"/>
                <w:szCs w:val="22"/>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黑体" w:hAnsi="黑体" w:eastAsia="黑体"/>
                <w:sz w:val="22"/>
                <w:szCs w:val="22"/>
                <w:lang w:val="en-US" w:eastAsia="zh-CN"/>
              </w:rPr>
            </w:pPr>
            <w:r>
              <w:rPr>
                <w:rFonts w:hint="eastAsia" w:ascii="黑体" w:hAnsi="黑体" w:eastAsia="黑体"/>
                <w:sz w:val="22"/>
                <w:szCs w:val="22"/>
                <w:lang w:val="en-US" w:eastAsia="zh-CN"/>
              </w:rPr>
              <w:t>0</w:t>
            </w:r>
          </w:p>
        </w:tc>
      </w:tr>
    </w:tbl>
    <w:p>
      <w:pPr>
        <w:numPr>
          <w:ilvl w:val="0"/>
          <w:numId w:val="0"/>
        </w:numPr>
        <w:snapToGrid w:val="0"/>
        <w:spacing w:line="560" w:lineRule="exact"/>
        <w:ind w:firstLine="640" w:firstLineChars="200"/>
        <w:jc w:val="both"/>
        <w:rPr>
          <w:rFonts w:hint="eastAsia" w:ascii="仿宋_GB2312" w:hAnsi="黑体" w:eastAsia="仿宋_GB2312"/>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color w:val="000000"/>
          <w:kern w:val="2"/>
          <w:sz w:val="32"/>
          <w:szCs w:val="32"/>
          <w:lang w:val="en-US" w:eastAsia="zh-CN" w:bidi="ar-SA"/>
        </w:rPr>
        <w:t>2022年，我镇完善信息公开机制，拓展公开渠道，在政府信息公开工作中取得一定成效，但是还存在不足之处。如，业务人员对依申请公开流程部分细节还不够熟悉，不能充分完全地做到专业化；公开的内容形式略显单一，不够多样化。下一步，我镇将坚持以公开为常态、不公开为例外的原则，进一步加强政务公开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（一）进一步加强信息公开专业队伍培养建设。</w:t>
      </w:r>
      <w:r>
        <w:rPr>
          <w:rFonts w:hint="eastAsia" w:ascii="仿宋_GB2312" w:hAnsi="黑体" w:eastAsia="仿宋_GB2312"/>
          <w:color w:val="000000"/>
          <w:kern w:val="2"/>
          <w:sz w:val="32"/>
          <w:szCs w:val="32"/>
          <w:lang w:val="en-US" w:eastAsia="zh-CN" w:bidi="ar-SA"/>
        </w:rPr>
        <w:t>强化政府信息公开业务培训学习，提高政务公开工作队伍思想认识，增强专业能力和专业水平，确保政务公开工作高质量完成。细化政务公开内容。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b/>
          <w:bCs/>
          <w:color w:val="000000"/>
          <w:kern w:val="2"/>
          <w:sz w:val="32"/>
          <w:szCs w:val="32"/>
          <w:lang w:val="en-US" w:eastAsia="zh-CN" w:bidi="ar-SA"/>
        </w:rPr>
        <w:t>（二）进一步拓展信息公开的内容和形式。</w:t>
      </w:r>
      <w:r>
        <w:rPr>
          <w:rFonts w:hint="eastAsia" w:ascii="仿宋_GB2312" w:hAnsi="黑体" w:eastAsia="仿宋_GB2312"/>
          <w:color w:val="000000"/>
          <w:kern w:val="2"/>
          <w:sz w:val="32"/>
          <w:szCs w:val="32"/>
          <w:lang w:val="en-US" w:eastAsia="zh-CN" w:bidi="ar-SA"/>
        </w:rPr>
        <w:t>积极整合信息公开资源,拓展主动公开内容范畴，以更为便捷、更为多样、群众喜闻乐见的形式进行内容展现。各站所、新村要落实主体责任，既要会干，也要会说，充分利用政府门户网站等平台，坚持改革创新，打造特色服务，创优服务亮点，及时发布和更新政务信息，确保政务信息公开、透明、准确，为群众、企业办事提供高效、快捷的服务，及时向人民群众传递好声音，弘扬正能量，唱响主旋律，进一步畅通与人民群众的桥梁纽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黑体" w:hAnsi="黑体" w:eastAsia="黑体" w:cs="黑体"/>
          <w:color w:val="000000"/>
          <w:kern w:val="2"/>
          <w:sz w:val="32"/>
          <w:szCs w:val="32"/>
          <w:lang w:val="en-US" w:eastAsia="zh-CN" w:bidi="ar-SA"/>
        </w:rPr>
      </w:pPr>
      <w:r>
        <w:rPr>
          <w:rFonts w:hint="default" w:ascii="黑体" w:hAnsi="黑体" w:eastAsia="黑体" w:cs="黑体"/>
          <w:color w:val="000000"/>
          <w:kern w:val="2"/>
          <w:sz w:val="32"/>
          <w:szCs w:val="32"/>
          <w:lang w:val="en-US" w:eastAsia="zh-CN" w:bidi="ar-SA"/>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黑体" w:eastAsia="仿宋_GB2312"/>
          <w:color w:val="000000"/>
          <w:kern w:val="2"/>
          <w:sz w:val="32"/>
          <w:szCs w:val="32"/>
          <w:lang w:val="en-US" w:eastAsia="zh-CN" w:bidi="ar-SA"/>
        </w:rPr>
      </w:pPr>
      <w:r>
        <w:rPr>
          <w:rFonts w:hint="eastAsia" w:ascii="仿宋_GB2312" w:hAnsi="黑体" w:eastAsia="仿宋_GB2312"/>
          <w:color w:val="000000"/>
          <w:kern w:val="2"/>
          <w:sz w:val="32"/>
          <w:szCs w:val="32"/>
          <w:lang w:val="en-US" w:eastAsia="zh-CN" w:bidi="ar-SA"/>
        </w:rPr>
        <w:t>2022年度本单位没有收取依申请公开信息处理费用。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right"/>
        <w:textAlignment w:val="auto"/>
        <w:rPr>
          <w:rFonts w:hint="eastAsia" w:ascii="仿宋_GB2312" w:hAnsi="黑体" w:eastAsia="仿宋_GB2312"/>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right"/>
        <w:textAlignment w:val="auto"/>
        <w:rPr>
          <w:rFonts w:hint="eastAsia" w:ascii="仿宋_GB2312" w:hAnsi="黑体" w:eastAsia="仿宋_GB2312"/>
          <w:color w:val="000000"/>
          <w:kern w:val="2"/>
          <w:sz w:val="32"/>
          <w:szCs w:val="32"/>
          <w:lang w:val="en-US" w:eastAsia="zh-CN" w:bidi="ar-SA"/>
        </w:rPr>
      </w:pPr>
      <w:r>
        <w:rPr>
          <w:rFonts w:hint="eastAsia" w:ascii="仿宋_GB2312" w:hAnsi="黑体" w:eastAsia="仿宋_GB2312"/>
          <w:color w:val="000000"/>
          <w:kern w:val="2"/>
          <w:sz w:val="32"/>
          <w:szCs w:val="32"/>
          <w:lang w:val="en-US" w:eastAsia="zh-CN" w:bidi="ar-SA"/>
        </w:rPr>
        <w:t>青岛西海岸新区宝山镇人民政府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center"/>
        <w:textAlignment w:val="auto"/>
        <w:rPr>
          <w:rFonts w:hint="default" w:ascii="仿宋_GB2312" w:hAnsi="黑体" w:eastAsia="仿宋_GB2312"/>
          <w:color w:val="000000"/>
          <w:kern w:val="2"/>
          <w:sz w:val="32"/>
          <w:szCs w:val="32"/>
          <w:lang w:val="en-US" w:eastAsia="zh-CN" w:bidi="ar-SA"/>
        </w:rPr>
      </w:pPr>
      <w:r>
        <w:rPr>
          <w:rFonts w:hint="eastAsia" w:ascii="仿宋_GB2312" w:hAnsi="黑体" w:eastAsia="仿宋_GB2312"/>
          <w:color w:val="000000"/>
          <w:kern w:val="2"/>
          <w:sz w:val="32"/>
          <w:szCs w:val="32"/>
          <w:lang w:val="en-US" w:eastAsia="zh-CN" w:bidi="ar-SA"/>
        </w:rPr>
        <w:t xml:space="preserve">                           2023年1月25日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E6D66"/>
    <w:multiLevelType w:val="singleLevel"/>
    <w:tmpl w:val="BBDE6D66"/>
    <w:lvl w:ilvl="0" w:tentative="0">
      <w:start w:val="7"/>
      <w:numFmt w:val="chineseCounting"/>
      <w:suff w:val="nothing"/>
      <w:lvlText w:val="（%1）"/>
      <w:lvlJc w:val="left"/>
      <w:rPr>
        <w:rFonts w:hint="eastAsia"/>
      </w:rPr>
    </w:lvl>
  </w:abstractNum>
  <w:abstractNum w:abstractNumId="1">
    <w:nsid w:val="F96855D9"/>
    <w:multiLevelType w:val="singleLevel"/>
    <w:tmpl w:val="F96855D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DZjZjBmMzlmYjc3OWYzN2I2Y2UxNWI3OGNhMmYifQ=="/>
  </w:docVars>
  <w:rsids>
    <w:rsidRoot w:val="00000000"/>
    <w:rsid w:val="00222122"/>
    <w:rsid w:val="012670EA"/>
    <w:rsid w:val="03CD32C2"/>
    <w:rsid w:val="04731D7D"/>
    <w:rsid w:val="092106CD"/>
    <w:rsid w:val="0CEE42F0"/>
    <w:rsid w:val="0F573F7C"/>
    <w:rsid w:val="15562AAB"/>
    <w:rsid w:val="16AC0BF3"/>
    <w:rsid w:val="18C4126B"/>
    <w:rsid w:val="1E1A048F"/>
    <w:rsid w:val="1E664002"/>
    <w:rsid w:val="215F5FD5"/>
    <w:rsid w:val="25BB13C2"/>
    <w:rsid w:val="2608769E"/>
    <w:rsid w:val="28C21A69"/>
    <w:rsid w:val="29567CBD"/>
    <w:rsid w:val="2A0239A1"/>
    <w:rsid w:val="2BA96C5C"/>
    <w:rsid w:val="2C4807F7"/>
    <w:rsid w:val="2CAE7E10"/>
    <w:rsid w:val="2E9A0193"/>
    <w:rsid w:val="3039115C"/>
    <w:rsid w:val="31BE79D5"/>
    <w:rsid w:val="35B93AAE"/>
    <w:rsid w:val="371723B9"/>
    <w:rsid w:val="37BA58BB"/>
    <w:rsid w:val="3A7A72A7"/>
    <w:rsid w:val="3AD54CE5"/>
    <w:rsid w:val="3C8E1A05"/>
    <w:rsid w:val="4057639D"/>
    <w:rsid w:val="409A2291"/>
    <w:rsid w:val="420308E3"/>
    <w:rsid w:val="427158DF"/>
    <w:rsid w:val="43AA6120"/>
    <w:rsid w:val="46613105"/>
    <w:rsid w:val="48916DA1"/>
    <w:rsid w:val="4B5A2C15"/>
    <w:rsid w:val="4F030121"/>
    <w:rsid w:val="539D5F00"/>
    <w:rsid w:val="54972DB4"/>
    <w:rsid w:val="54B273F2"/>
    <w:rsid w:val="586D3F6D"/>
    <w:rsid w:val="588729A8"/>
    <w:rsid w:val="5A706089"/>
    <w:rsid w:val="5AAC50E0"/>
    <w:rsid w:val="5D4015AA"/>
    <w:rsid w:val="5E767EDE"/>
    <w:rsid w:val="5FAD415B"/>
    <w:rsid w:val="60B16874"/>
    <w:rsid w:val="64634A61"/>
    <w:rsid w:val="67A73932"/>
    <w:rsid w:val="69B47073"/>
    <w:rsid w:val="6ABF1C39"/>
    <w:rsid w:val="6B55069B"/>
    <w:rsid w:val="70654152"/>
    <w:rsid w:val="70D50A94"/>
    <w:rsid w:val="730C3234"/>
    <w:rsid w:val="75716F89"/>
    <w:rsid w:val="764B541E"/>
    <w:rsid w:val="788935B4"/>
    <w:rsid w:val="7A791BB0"/>
    <w:rsid w:val="7A9474BF"/>
    <w:rsid w:val="7BC42778"/>
    <w:rsid w:val="7E332E37"/>
    <w:rsid w:val="7FD8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3297</Words>
  <Characters>3382</Characters>
  <Lines>0</Lines>
  <Paragraphs>0</Paragraphs>
  <TotalTime>2</TotalTime>
  <ScaleCrop>false</ScaleCrop>
  <LinksUpToDate>false</LinksUpToDate>
  <CharactersWithSpaces>3432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2022-01-14T07:13:00Z</dcterms:created>
  <dc:creator>Administrator</dc:creator>
  <cp:lastModifiedBy>Administrator</cp:lastModifiedBy>
  <cp:lastPrinted>2023-01-29T02:46:00Z</cp:lastPrinted>
  <dcterms:modified xsi:type="dcterms:W3CDTF">2023-01-29T07:02:11Z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87547D49F4494238AA65DD490E48205D</vt:lpwstr>
  </property>
</Properties>
</file>