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52" w:lineRule="auto"/>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青岛西海岸新区宝山镇</w:t>
      </w:r>
    </w:p>
    <w:p>
      <w:pPr>
        <w:adjustRightInd w:val="0"/>
        <w:snapToGrid w:val="0"/>
        <w:spacing w:line="252" w:lineRule="auto"/>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2023年政府信息公开工作年度报告</w:t>
      </w:r>
    </w:p>
    <w:p>
      <w:pPr>
        <w:adjustRightInd w:val="0"/>
        <w:snapToGrid w:val="0"/>
        <w:spacing w:line="560" w:lineRule="exact"/>
        <w:ind w:firstLine="640" w:firstLineChars="200"/>
        <w:jc w:val="left"/>
        <w:rPr>
          <w:rFonts w:hint="eastAsia" w:ascii="仿宋_GB2312" w:hAnsi="微软雅黑" w:eastAsia="仿宋_GB2312"/>
          <w:sz w:val="32"/>
          <w:szCs w:val="32"/>
          <w:shd w:val="clear" w:color="auto" w:fill="FFFFFF"/>
        </w:rPr>
      </w:pPr>
    </w:p>
    <w:p>
      <w:pPr>
        <w:adjustRightInd w:val="0"/>
        <w:snapToGrid w:val="0"/>
        <w:spacing w:line="560" w:lineRule="exact"/>
        <w:ind w:firstLine="640" w:firstLineChars="200"/>
        <w:jc w:val="both"/>
        <w:rPr>
          <w:rFonts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本报告根据《中华人民共和国政府信息公开条例》（以下简称《条例》）的要求编制。内容包括总体情况、主动公开政府信息情况、收到和处理政府信息公开申请情况、政府信息公开行政复议和行政诉讼情况、存在的主要问题及改进情况、其他需要报告的事项。本报告中所列数据的统计期限自202</w:t>
      </w:r>
      <w:r>
        <w:rPr>
          <w:rFonts w:hint="eastAsia" w:ascii="仿宋_GB2312" w:hAnsi="微软雅黑" w:eastAsia="仿宋_GB2312"/>
          <w:sz w:val="32"/>
          <w:szCs w:val="32"/>
          <w:shd w:val="clear" w:color="auto" w:fill="FFFFFF"/>
          <w:lang w:val="en-US" w:eastAsia="zh-CN"/>
        </w:rPr>
        <w:t>3</w:t>
      </w:r>
      <w:r>
        <w:rPr>
          <w:rFonts w:hint="eastAsia" w:ascii="仿宋_GB2312" w:hAnsi="微软雅黑" w:eastAsia="仿宋_GB2312"/>
          <w:sz w:val="32"/>
          <w:szCs w:val="32"/>
          <w:shd w:val="clear" w:color="auto" w:fill="FFFFFF"/>
        </w:rPr>
        <w:t>年1月1日至202</w:t>
      </w:r>
      <w:r>
        <w:rPr>
          <w:rFonts w:hint="eastAsia" w:ascii="仿宋_GB2312" w:hAnsi="微软雅黑" w:eastAsia="仿宋_GB2312"/>
          <w:sz w:val="32"/>
          <w:szCs w:val="32"/>
          <w:shd w:val="clear" w:color="auto" w:fill="FFFFFF"/>
          <w:lang w:val="en-US" w:eastAsia="zh-CN"/>
        </w:rPr>
        <w:t>3</w:t>
      </w:r>
      <w:r>
        <w:rPr>
          <w:rFonts w:hint="eastAsia" w:ascii="仿宋_GB2312" w:hAnsi="微软雅黑" w:eastAsia="仿宋_GB2312"/>
          <w:sz w:val="32"/>
          <w:szCs w:val="32"/>
          <w:shd w:val="clear" w:color="auto" w:fill="FFFFFF"/>
        </w:rPr>
        <w:t>年12月31日。本报告的电子版可在青</w:t>
      </w:r>
      <w:bookmarkStart w:id="9" w:name="_GoBack"/>
      <w:bookmarkEnd w:id="9"/>
      <w:r>
        <w:rPr>
          <w:rFonts w:hint="eastAsia" w:ascii="仿宋_GB2312" w:hAnsi="微软雅黑" w:eastAsia="仿宋_GB2312"/>
          <w:sz w:val="32"/>
          <w:szCs w:val="32"/>
          <w:shd w:val="clear" w:color="auto" w:fill="FFFFFF"/>
        </w:rPr>
        <w:t>岛西海岸新区政务网（http://www.xihaian.gov.cn/）下载。如对本报告有任何疑问，请与宝山镇人民政府党政办公室联系（地址：</w:t>
      </w:r>
      <w:r>
        <w:rPr>
          <w:rFonts w:hint="eastAsia" w:ascii="仿宋_GB2312" w:eastAsia="仿宋_GB2312"/>
          <w:sz w:val="32"/>
          <w:szCs w:val="32"/>
          <w:shd w:val="clear" w:color="auto" w:fill="FFFFFF"/>
        </w:rPr>
        <w:t>宝山镇七宝山路27号；电话：0532-82131022</w:t>
      </w:r>
      <w:r>
        <w:rPr>
          <w:rFonts w:hint="eastAsia" w:ascii="仿宋_GB2312" w:hAnsi="微软雅黑" w:eastAsia="仿宋_GB2312"/>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jc w:val="left"/>
        <w:textAlignment w:val="auto"/>
        <w:rPr>
          <w:rStyle w:val="7"/>
          <w:rFonts w:ascii="黑体" w:hAnsi="黑体" w:eastAsia="黑体"/>
          <w:b w:val="0"/>
          <w:sz w:val="32"/>
          <w:szCs w:val="32"/>
          <w:shd w:val="clear" w:color="auto" w:fill="FFFFFF"/>
        </w:rPr>
      </w:pPr>
      <w:r>
        <w:rPr>
          <w:rStyle w:val="7"/>
          <w:rFonts w:hint="eastAsia" w:ascii="黑体" w:hAnsi="黑体" w:eastAsia="黑体"/>
          <w:b w:val="0"/>
          <w:bCs w:val="0"/>
          <w:sz w:val="32"/>
          <w:szCs w:val="32"/>
          <w:shd w:val="clear" w:color="auto" w:fill="FFFFFF"/>
        </w:rPr>
        <w:t>一、</w:t>
      </w:r>
      <w:r>
        <w:rPr>
          <w:rStyle w:val="7"/>
          <w:rFonts w:hint="eastAsia" w:ascii="黑体" w:hAnsi="黑体" w:eastAsia="黑体"/>
          <w:b w:val="0"/>
          <w:sz w:val="32"/>
          <w:szCs w:val="32"/>
          <w:shd w:val="clear" w:color="auto" w:fill="FFFFFF"/>
        </w:rPr>
        <w:t>总体情况</w:t>
      </w:r>
    </w:p>
    <w:p>
      <w:pPr>
        <w:adjustRightInd w:val="0"/>
        <w:snapToGrid w:val="0"/>
        <w:spacing w:line="560" w:lineRule="exact"/>
        <w:ind w:firstLine="640" w:firstLineChars="200"/>
        <w:rPr>
          <w:rFonts w:ascii="仿宋_GB2312" w:hAnsi="微软雅黑" w:eastAsia="仿宋_GB2312"/>
          <w:sz w:val="32"/>
          <w:szCs w:val="32"/>
          <w:shd w:val="clear" w:color="auto" w:fill="FFFFFF"/>
        </w:rPr>
      </w:pPr>
      <w:r>
        <w:rPr>
          <w:rFonts w:hint="eastAsia" w:ascii="仿宋_GB2312" w:hAnsi="Times New Roman" w:eastAsia="仿宋_GB2312" w:cs="Times New Roman"/>
          <w:sz w:val="32"/>
          <w:szCs w:val="32"/>
        </w:rPr>
        <w:t>2023年青岛西海岸新区宝山镇以习近平新时代中国特色社会主义思想为指引，深入贯彻党的二十大精神，认真落实国务院办公厅和省、市关于深化新时代政务公开的工作要求，持续提升政务公开标准化、规范化水平，坚持以公开促落实、助监督、强监管，有效提升政府公信力和执行力。</w:t>
      </w:r>
    </w:p>
    <w:p>
      <w:pPr>
        <w:adjustRightInd w:val="0"/>
        <w:snapToGrid w:val="0"/>
        <w:spacing w:line="56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（一）主动公开情况</w:t>
      </w:r>
    </w:p>
    <w:p>
      <w:pPr>
        <w:adjustRightInd w:val="0"/>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2023年，围绕镇党委政府中心工作和人民群众关切，</w:t>
      </w:r>
      <w:r>
        <w:rPr>
          <w:rFonts w:hint="eastAsia" w:ascii="仿宋_GB2312" w:hAnsi="微软雅黑" w:eastAsia="仿宋_GB2312"/>
          <w:sz w:val="32"/>
          <w:szCs w:val="32"/>
          <w:shd w:val="clear" w:color="auto" w:fill="FFFFFF"/>
        </w:rPr>
        <w:t>主动公开政府信息</w:t>
      </w:r>
      <w:r>
        <w:rPr>
          <w:rFonts w:hint="eastAsia" w:ascii="仿宋_GB2312" w:hAnsi="微软雅黑" w:eastAsia="仿宋_GB2312"/>
          <w:sz w:val="32"/>
          <w:szCs w:val="32"/>
          <w:shd w:val="clear" w:color="auto" w:fill="FFFFFF"/>
          <w:lang w:val="en-US" w:eastAsia="zh-CN"/>
        </w:rPr>
        <w:t>8</w:t>
      </w:r>
      <w:r>
        <w:rPr>
          <w:rFonts w:hint="eastAsia" w:ascii="仿宋_GB2312" w:hAnsi="微软雅黑" w:eastAsia="仿宋_GB2312"/>
          <w:sz w:val="32"/>
          <w:szCs w:val="32"/>
          <w:shd w:val="clear" w:color="auto" w:fill="FFFFFF"/>
        </w:rPr>
        <w:t>36条，其中，政府网站公开110条，政务新媒体及新闻、报纸等媒介公开</w:t>
      </w:r>
      <w:r>
        <w:rPr>
          <w:rFonts w:hint="eastAsia" w:ascii="仿宋_GB2312" w:hAnsi="微软雅黑" w:eastAsia="仿宋_GB2312"/>
          <w:sz w:val="32"/>
          <w:szCs w:val="32"/>
          <w:shd w:val="clear" w:color="auto" w:fill="FFFFFF"/>
          <w:lang w:val="en-US" w:eastAsia="zh-CN"/>
        </w:rPr>
        <w:t>7</w:t>
      </w:r>
      <w:r>
        <w:rPr>
          <w:rFonts w:hint="eastAsia" w:ascii="仿宋_GB2312" w:hAnsi="微软雅黑" w:eastAsia="仿宋_GB2312"/>
          <w:sz w:val="32"/>
          <w:szCs w:val="32"/>
          <w:shd w:val="clear" w:color="auto" w:fill="FFFFFF"/>
        </w:rPr>
        <w:t>26条，较去年增长</w:t>
      </w:r>
      <w:r>
        <w:rPr>
          <w:rFonts w:hint="eastAsia" w:ascii="仿宋_GB2312" w:hAnsi="微软雅黑" w:eastAsia="仿宋_GB2312"/>
          <w:sz w:val="32"/>
          <w:szCs w:val="32"/>
          <w:shd w:val="clear" w:color="auto" w:fill="FFFFFF"/>
          <w:lang w:val="en-US" w:eastAsia="zh-CN"/>
        </w:rPr>
        <w:t>59</w:t>
      </w:r>
      <w:r>
        <w:rPr>
          <w:rFonts w:hint="eastAsia" w:ascii="仿宋_GB2312" w:hAnsi="微软雅黑" w:eastAsia="仿宋_GB2312"/>
          <w:sz w:val="32"/>
          <w:szCs w:val="32"/>
          <w:shd w:val="clear" w:color="auto" w:fill="FFFFFF"/>
        </w:rPr>
        <w:t>.</w:t>
      </w:r>
      <w:r>
        <w:rPr>
          <w:rFonts w:hint="eastAsia" w:ascii="仿宋_GB2312" w:hAnsi="微软雅黑" w:eastAsia="仿宋_GB2312"/>
          <w:sz w:val="32"/>
          <w:szCs w:val="32"/>
          <w:shd w:val="clear" w:color="auto" w:fill="FFFFFF"/>
          <w:lang w:val="en-US" w:eastAsia="zh-CN"/>
        </w:rPr>
        <w:t>1</w:t>
      </w:r>
      <w:r>
        <w:rPr>
          <w:rFonts w:hint="eastAsia" w:ascii="仿宋_GB2312" w:hAnsi="微软雅黑" w:eastAsia="仿宋_GB2312"/>
          <w:sz w:val="32"/>
          <w:szCs w:val="32"/>
          <w:shd w:val="clear" w:color="auto" w:fill="FFFFFF"/>
        </w:rPr>
        <w:t>%。</w:t>
      </w:r>
      <w:r>
        <w:rPr>
          <w:rFonts w:hint="eastAsia" w:ascii="仿宋_GB2312" w:hAnsi="微软雅黑" w:eastAsia="仿宋_GB2312"/>
          <w:sz w:val="32"/>
          <w:szCs w:val="32"/>
          <w:shd w:val="clear" w:color="auto" w:fill="FFFFFF"/>
          <w:lang w:val="en-US" w:eastAsia="zh-CN"/>
        </w:rPr>
        <w:t>组织开展“与农同行”系列政府开放日，参与超200人次。</w:t>
      </w:r>
    </w:p>
    <w:p>
      <w:pPr>
        <w:adjustRightInd w:val="0"/>
        <w:snapToGrid w:val="0"/>
        <w:spacing w:line="56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（二）依申请公开情况</w:t>
      </w:r>
    </w:p>
    <w:p>
      <w:pPr>
        <w:adjustRightInd w:val="0"/>
        <w:snapToGrid w:val="0"/>
        <w:spacing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持续以</w:t>
      </w:r>
      <w:r>
        <w:rPr>
          <w:rFonts w:hint="eastAsia" w:ascii="仿宋_GB2312" w:eastAsia="仿宋_GB2312"/>
          <w:sz w:val="32"/>
          <w:szCs w:val="32"/>
          <w:shd w:val="clear" w:color="auto" w:fill="FFFFFF"/>
        </w:rPr>
        <w:t>高标准严要求开展依申请公开受理工作，在政府网站信息公开专栏、镇政务公开体验区公布受理方式、受理时间、咨询电话等信息，全面规范依申请公开行为。2023年未收到政府信息公开申请。</w:t>
      </w:r>
    </w:p>
    <w:p>
      <w:pPr>
        <w:adjustRightInd w:val="0"/>
        <w:snapToGrid w:val="0"/>
        <w:spacing w:line="56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（三）政府信息管理情况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坚持“以公开为常态、不公开为例外”原则，在保护国家信息安全、国家秘密、商业秘密和个人隐私的前提下，通过政府网站、政务微信等途径依法公开政务信息，持续提升涉及群众利益政府公文的公开和解读水平。2023年宝山镇公开会议信息23条，政策性文件及解读</w:t>
      </w:r>
      <w:r>
        <w:rPr>
          <w:rFonts w:hint="eastAsia" w:ascii="仿宋_GB2312" w:eastAsia="仿宋_GB2312"/>
          <w:sz w:val="32"/>
          <w:szCs w:val="32"/>
          <w:lang w:val="en-US" w:eastAsia="zh-CN"/>
        </w:rPr>
        <w:t>12</w:t>
      </w:r>
      <w:r>
        <w:rPr>
          <w:rFonts w:hint="eastAsia" w:ascii="仿宋_GB2312" w:eastAsia="仿宋_GB2312"/>
          <w:sz w:val="32"/>
          <w:szCs w:val="32"/>
        </w:rPr>
        <w:t>条</w:t>
      </w:r>
      <w:r>
        <w:rPr>
          <w:rFonts w:hint="eastAsia" w:ascii="仿宋_GB2312" w:eastAsia="仿宋_GB2312"/>
          <w:sz w:val="32"/>
          <w:szCs w:val="32"/>
          <w:lang w:eastAsia="zh-CN"/>
        </w:rPr>
        <w:t>，</w:t>
      </w:r>
      <w:r>
        <w:rPr>
          <w:rFonts w:hint="eastAsia" w:ascii="仿宋_GB2312" w:eastAsia="仿宋_GB2312"/>
          <w:sz w:val="32"/>
          <w:szCs w:val="32"/>
          <w:lang w:val="en-US" w:eastAsia="zh-CN"/>
        </w:rPr>
        <w:t>其中动画视频类解读2个、图片解读2个</w:t>
      </w:r>
      <w:r>
        <w:rPr>
          <w:rFonts w:hint="eastAsia" w:ascii="仿宋_GB2312" w:eastAsia="仿宋_GB2312"/>
          <w:sz w:val="32"/>
          <w:szCs w:val="32"/>
        </w:rPr>
        <w:t>。</w:t>
      </w:r>
    </w:p>
    <w:p>
      <w:pPr>
        <w:adjustRightInd w:val="0"/>
        <w:snapToGrid w:val="0"/>
        <w:spacing w:line="56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（四）平台建设情况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2023年持续推进政务公开平台建设和镇、社区两级政务公开体验区建设，打造线上线下齐头并进的政务公开良好态势。线上</w:t>
      </w:r>
      <w:r>
        <w:rPr>
          <w:rFonts w:hint="eastAsia" w:ascii="仿宋_GB2312" w:eastAsia="仿宋_GB2312"/>
          <w:sz w:val="32"/>
          <w:szCs w:val="32"/>
          <w:lang w:eastAsia="zh-CN"/>
        </w:rPr>
        <w:t>，</w:t>
      </w:r>
      <w:r>
        <w:rPr>
          <w:rFonts w:hint="eastAsia" w:ascii="仿宋_GB2312" w:eastAsia="仿宋_GB2312"/>
          <w:sz w:val="32"/>
          <w:szCs w:val="32"/>
        </w:rPr>
        <w:t>持续发挥政府网站作为政务公开的第一平台作用，加强政务新媒体建设，不断拓宽政务公开领域，深化化政务公开内容。线下，以镇政务公开体验区为轴，宝山蓝莓特色体验区为翼，打造互动式公开新体验。</w:t>
      </w:r>
    </w:p>
    <w:p>
      <w:pPr>
        <w:adjustRightInd w:val="0"/>
        <w:snapToGrid w:val="0"/>
        <w:spacing w:line="560" w:lineRule="exact"/>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（五）监督保障情况</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持续加强组织领导，</w:t>
      </w:r>
      <w:r>
        <w:rPr>
          <w:rFonts w:hint="eastAsia" w:ascii="仿宋_GB2312" w:eastAsia="仿宋_GB2312"/>
          <w:sz w:val="32"/>
          <w:szCs w:val="32"/>
          <w:lang w:val="en-US" w:eastAsia="zh-CN"/>
        </w:rPr>
        <w:t>调整</w:t>
      </w:r>
      <w:r>
        <w:rPr>
          <w:rFonts w:hint="eastAsia" w:ascii="仿宋_GB2312" w:eastAsia="仿宋_GB2312"/>
          <w:sz w:val="32"/>
          <w:szCs w:val="32"/>
        </w:rPr>
        <w:t>政务公开领导小组，由党委副书记担任组长</w:t>
      </w:r>
      <w:r>
        <w:rPr>
          <w:rFonts w:hint="eastAsia" w:ascii="仿宋_GB2312" w:eastAsia="仿宋_GB2312"/>
          <w:sz w:val="32"/>
          <w:szCs w:val="32"/>
          <w:lang w:eastAsia="zh-CN"/>
        </w:rPr>
        <w:t>，</w:t>
      </w:r>
      <w:r>
        <w:rPr>
          <w:rFonts w:hint="eastAsia" w:ascii="仿宋_GB2312" w:eastAsia="仿宋_GB2312"/>
          <w:sz w:val="32"/>
          <w:szCs w:val="32"/>
        </w:rPr>
        <w:t>各部门负责人任成员</w:t>
      </w:r>
      <w:r>
        <w:rPr>
          <w:rFonts w:hint="eastAsia" w:ascii="仿宋_GB2312" w:eastAsia="仿宋_GB2312"/>
          <w:sz w:val="32"/>
          <w:szCs w:val="32"/>
          <w:lang w:eastAsia="zh-CN"/>
        </w:rPr>
        <w:t>，</w:t>
      </w:r>
      <w:r>
        <w:rPr>
          <w:rFonts w:hint="eastAsia" w:ascii="仿宋_GB2312" w:eastAsia="仿宋_GB2312"/>
          <w:sz w:val="32"/>
          <w:szCs w:val="32"/>
          <w:lang w:val="en-US" w:eastAsia="zh-CN"/>
        </w:rPr>
        <w:t>持续推动政务公开深化细化</w:t>
      </w:r>
      <w:r>
        <w:rPr>
          <w:rFonts w:hint="eastAsia" w:ascii="仿宋_GB2312" w:eastAsia="仿宋_GB2312"/>
          <w:sz w:val="32"/>
          <w:szCs w:val="32"/>
        </w:rPr>
        <w:t>。坚持打造政务公开专业队伍，召开政务公开工作培训会议</w:t>
      </w:r>
      <w:r>
        <w:rPr>
          <w:rFonts w:ascii="仿宋_GB2312" w:eastAsia="仿宋_GB2312"/>
          <w:sz w:val="32"/>
          <w:szCs w:val="32"/>
        </w:rPr>
        <w:t>1</w:t>
      </w:r>
      <w:r>
        <w:rPr>
          <w:rFonts w:hint="eastAsia" w:ascii="仿宋_GB2312" w:eastAsia="仿宋_GB2312"/>
          <w:sz w:val="32"/>
          <w:szCs w:val="32"/>
        </w:rPr>
        <w:t>次，提升镇政务公开工作水平。印发宝山镇政务公开工作要点，压实责任，扎实推进政务公开工作。</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jc w:val="left"/>
        <w:textAlignment w:val="auto"/>
        <w:rPr>
          <w:rStyle w:val="7"/>
          <w:rFonts w:hint="eastAsia" w:ascii="黑体" w:hAnsi="黑体" w:eastAsia="黑体" w:cs="Times New Roman"/>
          <w:b w:val="0"/>
          <w:bCs w:val="0"/>
          <w:sz w:val="32"/>
          <w:szCs w:val="32"/>
          <w:shd w:val="clear" w:color="auto" w:fill="FFFFFF"/>
        </w:rPr>
      </w:pPr>
      <w:r>
        <w:rPr>
          <w:rStyle w:val="7"/>
          <w:rFonts w:hint="eastAsia" w:ascii="黑体" w:hAnsi="黑体" w:eastAsia="黑体" w:cs="Times New Roman"/>
          <w:b w:val="0"/>
          <w:bCs w:val="0"/>
          <w:sz w:val="32"/>
          <w:szCs w:val="32"/>
          <w:shd w:val="clear" w:color="auto" w:fill="FFFFFF"/>
        </w:rPr>
        <w:t>二、主动公开政府信息情况</w:t>
      </w:r>
    </w:p>
    <w:tbl>
      <w:tblPr>
        <w:tblStyle w:val="5"/>
        <w:tblW w:w="8824" w:type="dxa"/>
        <w:jc w:val="center"/>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bl>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textAlignment w:val="auto"/>
        <w:rPr>
          <w:rFonts w:ascii="黑体" w:hAnsi="黑体" w:eastAsia="黑体"/>
          <w:color w:val="333333"/>
          <w:sz w:val="32"/>
          <w:szCs w:val="32"/>
          <w:shd w:val="clear" w:color="auto" w:fill="FFFFFF"/>
        </w:rPr>
      </w:pPr>
      <w:r>
        <w:rPr>
          <w:rStyle w:val="7"/>
          <w:rFonts w:hint="eastAsia" w:ascii="黑体" w:hAnsi="黑体" w:eastAsia="黑体" w:cs="Times New Roman"/>
          <w:b w:val="0"/>
          <w:bCs w:val="0"/>
          <w:sz w:val="32"/>
          <w:szCs w:val="32"/>
          <w:shd w:val="clear" w:color="auto" w:fill="FFFFFF"/>
        </w:rPr>
        <w:t>三、收到和处理政府信息公开申请情况 </w:t>
      </w:r>
    </w:p>
    <w:tbl>
      <w:tblPr>
        <w:tblStyle w:val="5"/>
        <w:tblW w:w="97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3156"/>
        <w:gridCol w:w="567"/>
        <w:gridCol w:w="649"/>
        <w:gridCol w:w="567"/>
        <w:gridCol w:w="731"/>
        <w:gridCol w:w="708"/>
        <w:gridCol w:w="567"/>
        <w:gridCol w:w="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273" w:type="dxa"/>
            <w:gridSpan w:val="3"/>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76" w:type="dxa"/>
            <w:gridSpan w:val="7"/>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273" w:type="dxa"/>
            <w:gridSpan w:val="3"/>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p>
        </w:tc>
        <w:tc>
          <w:tcPr>
            <w:tcW w:w="56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黑体" w:hAnsi="黑体" w:eastAsia="黑体"/>
                <w:szCs w:val="21"/>
              </w:rPr>
            </w:pPr>
            <w:r>
              <w:rPr>
                <w:rFonts w:hint="eastAsia" w:ascii="黑体" w:hAnsi="黑体" w:eastAsia="黑体"/>
                <w:kern w:val="0"/>
                <w:szCs w:val="21"/>
              </w:rPr>
              <w:t>自然人</w:t>
            </w:r>
          </w:p>
        </w:tc>
        <w:tc>
          <w:tcPr>
            <w:tcW w:w="3222"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黑体" w:hAnsi="黑体" w:eastAsia="黑体"/>
                <w:szCs w:val="21"/>
              </w:rPr>
            </w:pPr>
            <w:r>
              <w:rPr>
                <w:rFonts w:hint="eastAsia" w:ascii="黑体" w:hAnsi="黑体" w:eastAsia="黑体"/>
                <w:kern w:val="0"/>
                <w:szCs w:val="21"/>
              </w:rPr>
              <w:t>法人或其他组织</w:t>
            </w:r>
          </w:p>
        </w:tc>
        <w:tc>
          <w:tcPr>
            <w:tcW w:w="68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273" w:type="dxa"/>
            <w:gridSpan w:val="3"/>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p>
        </w:tc>
        <w:tc>
          <w:tcPr>
            <w:tcW w:w="567"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黑体" w:hAnsi="黑体" w:eastAsia="黑体"/>
                <w:szCs w:val="21"/>
              </w:rPr>
            </w:pP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7" w:leftChars="-51" w:right="-10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7" w:leftChars="-51" w:right="-10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63" w:leftChars="-30" w:right="-134" w:rightChars="-64"/>
              <w:jc w:val="center"/>
              <w:textAlignment w:val="auto"/>
              <w:rPr>
                <w:rFonts w:ascii="黑体" w:hAnsi="黑体" w:eastAsia="黑体"/>
                <w:szCs w:val="21"/>
              </w:rPr>
            </w:pPr>
            <w:r>
              <w:rPr>
                <w:rFonts w:hint="eastAsia" w:ascii="黑体" w:hAnsi="黑体" w:eastAsia="黑体"/>
                <w:kern w:val="0"/>
                <w:szCs w:val="21"/>
              </w:rPr>
              <w:t>其他</w:t>
            </w:r>
          </w:p>
        </w:tc>
        <w:tc>
          <w:tcPr>
            <w:tcW w:w="687"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7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7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180" w:line="240" w:lineRule="auto"/>
              <w:textAlignment w:val="auto"/>
              <w:rPr>
                <w:rFonts w:ascii="黑体" w:hAnsi="黑体" w:eastAsia="黑体"/>
                <w:szCs w:val="21"/>
              </w:rPr>
            </w:pPr>
            <w:r>
              <w:rPr>
                <w:rFonts w:hint="eastAsia" w:ascii="黑体" w:hAnsi="黑体" w:eastAsia="黑体"/>
                <w:kern w:val="0"/>
                <w:szCs w:val="21"/>
              </w:rPr>
              <w:t>三、本年度办理结果</w:t>
            </w:r>
          </w:p>
        </w:tc>
        <w:tc>
          <w:tcPr>
            <w:tcW w:w="485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r>
              <w:rPr>
                <w:rFonts w:hint="eastAsia" w:ascii="黑体" w:hAnsi="黑体" w:eastAsia="黑体"/>
                <w:kern w:val="0"/>
                <w:szCs w:val="21"/>
              </w:rPr>
              <w:t>（一）予以公开</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485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7" w:leftChars="-51"/>
              <w:textAlignment w:val="auto"/>
              <w:rPr>
                <w:rFonts w:ascii="黑体" w:hAnsi="黑体" w:eastAsia="黑体"/>
                <w:szCs w:val="21"/>
              </w:rPr>
            </w:pPr>
            <w:r>
              <w:rPr>
                <w:rFonts w:hint="eastAsia" w:ascii="黑体" w:hAnsi="黑体" w:eastAsia="黑体"/>
                <w:kern w:val="0"/>
                <w:szCs w:val="21"/>
              </w:rPr>
              <w:t>（三）不予公开</w:t>
            </w: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仿宋_GB2312" w:hAnsi="黑体" w:eastAsia="仿宋_GB2312"/>
                <w:kern w:val="0"/>
                <w:szCs w:val="21"/>
                <w:lang w:val="en-US" w:eastAsia="zh-CN"/>
              </w:rPr>
            </w:pPr>
            <w:r>
              <w:rPr>
                <w:rFonts w:hint="eastAsia" w:ascii="仿宋_GB2312" w:hAnsi="黑体" w:eastAsia="仿宋_GB2312"/>
                <w:kern w:val="0"/>
                <w:szCs w:val="21"/>
                <w:lang w:val="en-US" w:eastAsia="zh-CN"/>
              </w:rPr>
              <w:t>1.属于国家秘密</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仿宋_GB2312" w:hAnsi="黑体" w:eastAsia="仿宋_GB2312"/>
                <w:kern w:val="0"/>
                <w:szCs w:val="21"/>
                <w:lang w:val="en-US" w:eastAsia="zh-CN"/>
              </w:rPr>
            </w:pPr>
            <w:r>
              <w:rPr>
                <w:rFonts w:hint="eastAsia" w:ascii="仿宋_GB2312" w:hAnsi="黑体" w:eastAsia="仿宋_GB2312"/>
                <w:kern w:val="0"/>
                <w:szCs w:val="21"/>
                <w:lang w:val="en-US" w:eastAsia="zh-CN"/>
              </w:rPr>
              <w:t>2.其他法律行政法规禁止公开</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_GB2312" w:hAnsi="黑体" w:eastAsia="仿宋_GB2312"/>
                <w:kern w:val="0"/>
                <w:szCs w:val="21"/>
              </w:rPr>
            </w:pPr>
            <w:r>
              <w:rPr>
                <w:rFonts w:hint="eastAsia" w:ascii="仿宋_GB2312" w:hAnsi="黑体" w:eastAsia="仿宋_GB2312"/>
                <w:kern w:val="0"/>
                <w:szCs w:val="21"/>
              </w:rPr>
              <w:t>4.</w:t>
            </w:r>
            <w:bookmarkStart w:id="2" w:name="_Hlk66974290"/>
            <w:r>
              <w:rPr>
                <w:rFonts w:hint="eastAsia" w:ascii="仿宋_GB2312" w:hAnsi="黑体" w:eastAsia="仿宋_GB2312"/>
                <w:kern w:val="0"/>
                <w:szCs w:val="21"/>
              </w:rPr>
              <w:t>保护第三方合法权益</w:t>
            </w:r>
            <w:bookmarkEnd w:id="2"/>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_GB2312" w:hAnsi="黑体" w:eastAsia="仿宋_GB2312"/>
                <w:kern w:val="0"/>
                <w:szCs w:val="21"/>
              </w:rPr>
            </w:pPr>
            <w:r>
              <w:rPr>
                <w:rFonts w:hint="eastAsia" w:ascii="仿宋_GB2312" w:hAnsi="黑体" w:eastAsia="仿宋_GB2312"/>
                <w:kern w:val="0"/>
                <w:szCs w:val="21"/>
              </w:rPr>
              <w:t>6.</w:t>
            </w:r>
            <w:bookmarkStart w:id="3" w:name="_Hlk66974555"/>
            <w:r>
              <w:rPr>
                <w:rFonts w:hint="eastAsia" w:ascii="仿宋_GB2312" w:hAnsi="黑体" w:eastAsia="仿宋_GB2312"/>
                <w:kern w:val="0"/>
                <w:szCs w:val="21"/>
              </w:rPr>
              <w:t>属于四类过程性信息</w:t>
            </w:r>
            <w:bookmarkEnd w:id="3"/>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_GB2312" w:hAnsi="黑体" w:eastAsia="仿宋_GB2312"/>
                <w:kern w:val="0"/>
                <w:szCs w:val="21"/>
              </w:rPr>
            </w:pPr>
            <w:r>
              <w:rPr>
                <w:rFonts w:hint="eastAsia" w:ascii="仿宋_GB2312" w:hAnsi="黑体" w:eastAsia="仿宋_GB2312"/>
                <w:kern w:val="0"/>
                <w:szCs w:val="21"/>
              </w:rPr>
              <w:t>8.</w:t>
            </w:r>
            <w:bookmarkStart w:id="4" w:name="_Hlk66975211"/>
            <w:r>
              <w:rPr>
                <w:rFonts w:hint="eastAsia" w:ascii="仿宋_GB2312" w:hAnsi="黑体" w:eastAsia="仿宋_GB2312"/>
                <w:kern w:val="0"/>
                <w:szCs w:val="21"/>
              </w:rPr>
              <w:t>属于行政查询事项</w:t>
            </w:r>
            <w:bookmarkEnd w:id="4"/>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7" w:leftChars="-51"/>
              <w:textAlignment w:val="auto"/>
              <w:rPr>
                <w:rFonts w:ascii="黑体" w:hAnsi="黑体" w:eastAsia="黑体"/>
                <w:szCs w:val="21"/>
              </w:rPr>
            </w:pPr>
            <w:r>
              <w:rPr>
                <w:rFonts w:hint="eastAsia" w:ascii="黑体" w:hAnsi="黑体" w:eastAsia="黑体"/>
                <w:kern w:val="0"/>
                <w:szCs w:val="21"/>
              </w:rPr>
              <w:t>（四）无法提供</w:t>
            </w: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7" w:leftChars="-51"/>
              <w:textAlignment w:val="auto"/>
              <w:rPr>
                <w:rFonts w:ascii="黑体" w:hAnsi="黑体" w:eastAsia="黑体"/>
                <w:szCs w:val="21"/>
              </w:rPr>
            </w:pP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_GB2312" w:hAnsi="黑体" w:eastAsia="仿宋_GB2312"/>
                <w:kern w:val="0"/>
                <w:szCs w:val="21"/>
              </w:rPr>
            </w:pPr>
            <w:r>
              <w:rPr>
                <w:rFonts w:hint="eastAsia" w:ascii="仿宋_GB2312" w:hAnsi="黑体" w:eastAsia="仿宋_GB2312"/>
                <w:kern w:val="0"/>
                <w:szCs w:val="21"/>
              </w:rPr>
              <w:t>2.</w:t>
            </w:r>
            <w:bookmarkStart w:id="5" w:name="_Hlk66975392"/>
            <w:r>
              <w:rPr>
                <w:rFonts w:hint="eastAsia" w:ascii="仿宋_GB2312" w:hAnsi="黑体" w:eastAsia="仿宋_GB2312"/>
                <w:kern w:val="0"/>
                <w:szCs w:val="21"/>
              </w:rPr>
              <w:t>没有现成信息需要另行制作</w:t>
            </w:r>
            <w:bookmarkEnd w:id="5"/>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7" w:leftChars="-51"/>
              <w:textAlignment w:val="auto"/>
              <w:rPr>
                <w:rFonts w:ascii="黑体" w:hAnsi="黑体" w:eastAsia="黑体"/>
                <w:szCs w:val="21"/>
              </w:rPr>
            </w:pP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_GB2312" w:hAnsi="黑体" w:eastAsia="仿宋_GB2312"/>
                <w:kern w:val="0"/>
                <w:szCs w:val="21"/>
              </w:rPr>
            </w:pPr>
            <w:r>
              <w:rPr>
                <w:rFonts w:hint="eastAsia" w:ascii="仿宋_GB2312" w:hAnsi="黑体" w:eastAsia="仿宋_GB2312"/>
                <w:kern w:val="0"/>
                <w:szCs w:val="21"/>
              </w:rPr>
              <w:t>3.</w:t>
            </w:r>
            <w:bookmarkStart w:id="6" w:name="_Hlk66975466"/>
            <w:r>
              <w:rPr>
                <w:rFonts w:hint="eastAsia" w:ascii="仿宋_GB2312" w:hAnsi="黑体" w:eastAsia="仿宋_GB2312"/>
                <w:kern w:val="0"/>
                <w:szCs w:val="21"/>
              </w:rPr>
              <w:t>补正后申请内容仍不明确</w:t>
            </w:r>
            <w:bookmarkEnd w:id="6"/>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left="-107" w:leftChars="-51"/>
              <w:textAlignment w:val="auto"/>
              <w:rPr>
                <w:rFonts w:ascii="黑体" w:hAnsi="黑体" w:eastAsia="黑体"/>
                <w:szCs w:val="21"/>
              </w:rPr>
            </w:pPr>
            <w:r>
              <w:rPr>
                <w:rFonts w:hint="eastAsia" w:ascii="黑体" w:hAnsi="黑体" w:eastAsia="黑体"/>
                <w:kern w:val="0"/>
                <w:szCs w:val="21"/>
              </w:rPr>
              <w:t>（五）不予处理</w:t>
            </w: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_GB2312" w:hAnsi="黑体" w:eastAsia="仿宋_GB2312"/>
                <w:kern w:val="0"/>
                <w:szCs w:val="21"/>
              </w:rPr>
            </w:pPr>
            <w:r>
              <w:rPr>
                <w:rFonts w:hint="eastAsia" w:ascii="仿宋_GB2312" w:hAnsi="黑体" w:eastAsia="仿宋_GB2312"/>
                <w:kern w:val="0"/>
                <w:szCs w:val="21"/>
              </w:rPr>
              <w:t>1.</w:t>
            </w:r>
            <w:bookmarkStart w:id="7" w:name="_Hlk66975537"/>
            <w:r>
              <w:rPr>
                <w:rFonts w:hint="eastAsia" w:ascii="仿宋_GB2312" w:hAnsi="黑体" w:eastAsia="仿宋_GB2312"/>
                <w:kern w:val="0"/>
                <w:szCs w:val="21"/>
              </w:rPr>
              <w:t>信访举报投诉类申请</w:t>
            </w:r>
            <w:bookmarkEnd w:id="7"/>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pPr>
              <w:keepNext w:val="0"/>
              <w:keepLines w:val="0"/>
              <w:pageBreakBefore w:val="0"/>
              <w:widowControl/>
              <w:kinsoku/>
              <w:wordWrap/>
              <w:overflowPunct/>
              <w:topLinePunct w:val="0"/>
              <w:autoSpaceDE/>
              <w:autoSpaceDN/>
              <w:bidi w:val="0"/>
              <w:adjustRightInd w:val="0"/>
              <w:snapToGrid w:val="0"/>
              <w:spacing w:line="240" w:lineRule="auto"/>
              <w:ind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黑体" w:hAnsi="黑体" w:eastAsia="黑体"/>
                <w:kern w:val="0"/>
                <w:szCs w:val="21"/>
              </w:rPr>
            </w:pPr>
            <w:r>
              <w:rPr>
                <w:rFonts w:hint="eastAsia" w:ascii="黑体" w:hAnsi="黑体" w:eastAsia="黑体"/>
                <w:kern w:val="0"/>
                <w:szCs w:val="21"/>
                <w:lang w:eastAsia="zh-CN"/>
              </w:rPr>
              <w:t>（</w:t>
            </w:r>
            <w:r>
              <w:rPr>
                <w:rFonts w:hint="eastAsia" w:ascii="黑体" w:hAnsi="黑体" w:eastAsia="黑体"/>
                <w:kern w:val="0"/>
                <w:szCs w:val="21"/>
              </w:rPr>
              <w:t>六）其他处理</w:t>
            </w: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kern w:val="0"/>
                <w:szCs w:val="21"/>
              </w:rPr>
            </w:pP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kern w:val="0"/>
                <w:szCs w:val="21"/>
              </w:rPr>
            </w:pPr>
          </w:p>
        </w:tc>
        <w:tc>
          <w:tcPr>
            <w:tcW w:w="315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_GB2312" w:hAnsi="黑体" w:eastAsia="仿宋_GB2312"/>
                <w:kern w:val="0"/>
                <w:szCs w:val="21"/>
              </w:rPr>
            </w:pPr>
            <w:r>
              <w:rPr>
                <w:rFonts w:hint="eastAsia" w:ascii="仿宋_GB2312" w:hAnsi="楷体" w:eastAsia="仿宋_GB2312"/>
              </w:rPr>
              <w:t>3.其他</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szCs w:val="21"/>
              </w:rPr>
            </w:pPr>
          </w:p>
        </w:tc>
        <w:tc>
          <w:tcPr>
            <w:tcW w:w="485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黑体" w:hAnsi="黑体" w:eastAsia="黑体"/>
                <w:kern w:val="0"/>
                <w:szCs w:val="21"/>
              </w:rPr>
            </w:pPr>
            <w:r>
              <w:rPr>
                <w:rFonts w:hint="eastAsia" w:ascii="黑体" w:hAnsi="黑体" w:eastAsia="黑体"/>
                <w:kern w:val="0"/>
                <w:szCs w:val="21"/>
              </w:rPr>
              <w:t>（七）总计</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7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黑体" w:hAnsi="黑体" w:eastAsia="黑体"/>
                <w:kern w:val="0"/>
                <w:szCs w:val="21"/>
              </w:rPr>
            </w:pPr>
            <w:r>
              <w:rPr>
                <w:rFonts w:hint="eastAsia" w:ascii="黑体" w:hAnsi="黑体" w:eastAsia="黑体"/>
                <w:kern w:val="0"/>
                <w:szCs w:val="21"/>
              </w:rPr>
              <w:t>四、结转下年度继续办理</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bl>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00" w:firstLineChars="200"/>
        <w:textAlignment w:val="auto"/>
        <w:rPr>
          <w:rFonts w:ascii="黑体" w:hAnsi="黑体" w:eastAsia="黑体"/>
          <w:sz w:val="32"/>
          <w:szCs w:val="32"/>
          <w:shd w:val="clear" w:color="auto" w:fill="FFFFFF"/>
        </w:rPr>
      </w:pPr>
      <w:r>
        <w:rPr>
          <w:rFonts w:hint="eastAsia" w:ascii="黑体" w:hAnsi="黑体" w:eastAsia="黑体"/>
          <w:spacing w:val="-10"/>
          <w:sz w:val="32"/>
          <w:szCs w:val="32"/>
          <w:shd w:val="clear" w:color="auto" w:fill="FFFFFF"/>
        </w:rPr>
        <w:t>四、因政府信息公开工作被申请行政复议、提起行政诉讼情况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454"/>
        <w:gridCol w:w="453"/>
        <w:gridCol w:w="453"/>
        <w:gridCol w:w="453"/>
        <w:gridCol w:w="485"/>
        <w:gridCol w:w="421"/>
        <w:gridCol w:w="454"/>
        <w:gridCol w:w="453"/>
        <w:gridCol w:w="453"/>
        <w:gridCol w:w="485"/>
        <w:gridCol w:w="421"/>
        <w:gridCol w:w="454"/>
        <w:gridCol w:w="454"/>
        <w:gridCol w:w="454"/>
        <w:gridCol w:w="454"/>
        <w:gridCol w:w="454"/>
        <w:gridCol w:w="454"/>
        <w:gridCol w:w="454"/>
        <w:gridCol w:w="454"/>
        <w:gridCol w:w="45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gridSpan w:val="6"/>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val="0"/>
              <w:snapToGrid w:val="0"/>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ascii="黑体" w:hAnsi="黑体" w:eastAsia="黑体"/>
                <w:kern w:val="0"/>
                <w:sz w:val="20"/>
                <w:szCs w:val="20"/>
              </w:rPr>
            </w:pPr>
            <w:r>
              <w:rPr>
                <w:rFonts w:ascii="黑体" w:hAnsi="黑体" w:eastAsia="黑体"/>
                <w:kern w:val="0"/>
                <w:sz w:val="20"/>
                <w:szCs w:val="20"/>
              </w:rPr>
              <w:t>总</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rPr>
            </w:pPr>
            <w:bookmarkStart w:id="8" w:name="_Hlk67039688"/>
            <w:r>
              <w:rPr>
                <w:rFonts w:ascii="黑体" w:hAnsi="黑体" w:eastAsia="黑体"/>
                <w:kern w:val="0"/>
                <w:sz w:val="20"/>
                <w:szCs w:val="20"/>
              </w:rPr>
              <w:t>复议后起诉</w:t>
            </w:r>
            <w:bookmarkEnd w:id="8"/>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textAlignment w:val="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rPr>
            </w:pPr>
            <w:r>
              <w:rPr>
                <w:rFonts w:hint="eastAsia" w:ascii="Times New Roman" w:hAnsi="Times New Roma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rPr>
            </w:pPr>
            <w:r>
              <w:rPr>
                <w:rFonts w:hint="eastAsia" w:ascii="Times New Roman" w:hAnsi="Times New Roma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rPr>
            </w:pPr>
            <w:r>
              <w:rPr>
                <w:rFonts w:hint="eastAsia" w:ascii="Times New Roman" w:hAnsi="Times New Roman"/>
              </w:rPr>
              <w:t>0</w:t>
            </w:r>
          </w:p>
        </w:tc>
        <w:tc>
          <w:tcPr>
            <w:tcW w:w="6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rPr>
            </w:pPr>
            <w:r>
              <w:rPr>
                <w:rFonts w:hint="eastAsia" w:ascii="Times New Roman" w:hAnsi="Times New Roman"/>
              </w:rPr>
              <w:t>0</w:t>
            </w:r>
          </w:p>
        </w:tc>
        <w:tc>
          <w:tcPr>
            <w:tcW w:w="6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rPr>
            </w:pPr>
            <w:r>
              <w:rPr>
                <w:rFonts w:hint="eastAsia" w:ascii="Times New Roman" w:hAnsi="Times New Roman"/>
              </w:rPr>
              <w:t>0</w:t>
            </w:r>
          </w:p>
        </w:tc>
        <w:tc>
          <w:tcPr>
            <w:tcW w:w="6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rPr>
            </w:pPr>
            <w:r>
              <w:rPr>
                <w:rFonts w:hint="eastAsia" w:ascii="Times New Roman" w:hAnsi="Times New Roman"/>
              </w:rPr>
              <w:t>0</w:t>
            </w:r>
          </w:p>
        </w:tc>
        <w:tc>
          <w:tcPr>
            <w:tcW w:w="60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rPr>
            </w:pPr>
            <w:r>
              <w:rPr>
                <w:rFonts w:hint="eastAsia" w:ascii="Times New Roman" w:hAnsi="Times New Roman"/>
              </w:rPr>
              <w:t>0</w:t>
            </w:r>
          </w:p>
        </w:tc>
        <w:tc>
          <w:tcPr>
            <w:tcW w:w="60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rPr>
            </w:pPr>
            <w:r>
              <w:rPr>
                <w:rFonts w:hint="eastAsia" w:ascii="Times New Roman" w:hAnsi="Times New Roman"/>
              </w:rPr>
              <w:t>0</w:t>
            </w:r>
          </w:p>
        </w:tc>
      </w:tr>
    </w:tbl>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textAlignment w:val="auto"/>
        <w:rPr>
          <w:rFonts w:ascii="黑体" w:hAnsi="黑体" w:eastAsia="黑体"/>
          <w:sz w:val="32"/>
          <w:szCs w:val="32"/>
          <w:shd w:val="clear" w:color="auto" w:fill="FFFFFF"/>
        </w:rPr>
      </w:pPr>
      <w:r>
        <w:rPr>
          <w:rFonts w:hint="eastAsia" w:ascii="黑体" w:hAnsi="黑体" w:eastAsia="黑体"/>
          <w:sz w:val="32"/>
          <w:szCs w:val="32"/>
          <w:shd w:val="clear" w:color="auto" w:fill="FFFFFF"/>
        </w:rPr>
        <w:t>五、存在的主要问题及改进情况</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SA"/>
        </w:rPr>
        <w:t>（一）</w:t>
      </w:r>
      <w:r>
        <w:rPr>
          <w:rFonts w:hint="eastAsia" w:ascii="楷体_GB2312" w:hAnsi="楷体_GB2312" w:eastAsia="楷体_GB2312" w:cs="楷体_GB2312"/>
          <w:sz w:val="32"/>
          <w:szCs w:val="32"/>
        </w:rPr>
        <w:t>存在问题</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微软雅黑" w:eastAsia="仿宋_GB2312"/>
          <w:sz w:val="32"/>
          <w:szCs w:val="32"/>
        </w:rPr>
      </w:pPr>
      <w:r>
        <w:rPr>
          <w:rFonts w:hint="eastAsia" w:ascii="仿宋_GB2312" w:hAnsi="微软雅黑" w:eastAsia="仿宋_GB2312"/>
          <w:sz w:val="32"/>
          <w:szCs w:val="32"/>
        </w:rPr>
        <w:t>一是政府信息主动公开的力度</w:t>
      </w:r>
      <w:r>
        <w:rPr>
          <w:rFonts w:hint="eastAsia" w:ascii="仿宋_GB2312" w:hAnsi="微软雅黑" w:eastAsia="仿宋_GB2312"/>
          <w:sz w:val="32"/>
          <w:szCs w:val="32"/>
          <w:lang w:val="en-US" w:eastAsia="zh-CN"/>
        </w:rPr>
        <w:t>和质量仍</w:t>
      </w:r>
      <w:r>
        <w:rPr>
          <w:rFonts w:hint="eastAsia" w:ascii="仿宋_GB2312" w:hAnsi="微软雅黑" w:eastAsia="仿宋_GB2312"/>
          <w:sz w:val="32"/>
          <w:szCs w:val="32"/>
        </w:rPr>
        <w:t>需</w:t>
      </w:r>
      <w:r>
        <w:rPr>
          <w:rFonts w:hint="eastAsia" w:ascii="仿宋_GB2312" w:hAnsi="微软雅黑" w:eastAsia="仿宋_GB2312"/>
          <w:sz w:val="32"/>
          <w:szCs w:val="32"/>
          <w:lang w:val="en-US" w:eastAsia="zh-CN"/>
        </w:rPr>
        <w:t>提高</w:t>
      </w:r>
      <w:r>
        <w:rPr>
          <w:rFonts w:hint="eastAsia" w:ascii="仿宋_GB2312" w:hAnsi="微软雅黑" w:eastAsia="仿宋_GB2312"/>
          <w:sz w:val="32"/>
          <w:szCs w:val="32"/>
        </w:rPr>
        <w:t>；二是政府信息公开工作</w:t>
      </w:r>
      <w:r>
        <w:rPr>
          <w:rFonts w:hint="eastAsia" w:ascii="仿宋_GB2312" w:hAnsi="微软雅黑" w:eastAsia="仿宋_GB2312"/>
          <w:sz w:val="32"/>
          <w:szCs w:val="32"/>
          <w:lang w:val="en-US" w:eastAsia="zh-CN"/>
        </w:rPr>
        <w:t>亮点不足</w:t>
      </w:r>
      <w:r>
        <w:rPr>
          <w:rFonts w:hint="eastAsia" w:ascii="仿宋_GB2312" w:hAnsi="微软雅黑" w:eastAsia="仿宋_GB2312"/>
          <w:sz w:val="32"/>
          <w:szCs w:val="32"/>
          <w:lang w:eastAsia="zh-CN"/>
        </w:rPr>
        <w:t>、</w:t>
      </w:r>
      <w:r>
        <w:rPr>
          <w:rFonts w:hint="eastAsia" w:ascii="仿宋_GB2312" w:hAnsi="微软雅黑" w:eastAsia="仿宋_GB2312"/>
          <w:sz w:val="32"/>
          <w:szCs w:val="32"/>
          <w:lang w:val="en-US" w:eastAsia="zh-CN"/>
        </w:rPr>
        <w:t>与工作结合不够、创新意识不强</w:t>
      </w:r>
      <w:r>
        <w:rPr>
          <w:rFonts w:hint="eastAsia" w:ascii="仿宋_GB2312" w:hAnsi="微软雅黑" w:eastAsia="仿宋_GB2312"/>
          <w:sz w:val="32"/>
          <w:szCs w:val="32"/>
        </w:rPr>
        <w:t>。</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（二）改进举措</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1.提升政务公开责任意识。常态化组织开展业务培训，切实把信息公开与日常业务工作紧密结合起来，给工作人员树立公开思维，打造一支知公开、会公开、善公开的工作队伍。</w:t>
      </w:r>
    </w:p>
    <w:p>
      <w:pPr>
        <w:pStyle w:val="4"/>
        <w:numPr>
          <w:ilvl w:val="0"/>
          <w:numId w:val="0"/>
        </w:numPr>
        <w:shd w:val="clear" w:color="auto" w:fill="FFFFFF"/>
        <w:adjustRightInd w:val="0"/>
        <w:snapToGrid w:val="0"/>
        <w:spacing w:before="0" w:beforeAutospacing="0" w:after="0" w:afterAutospacing="0" w:line="56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lang w:val="en-US" w:eastAsia="zh-CN"/>
        </w:rPr>
        <w:t>2.提升政务公开工作水平。切实履行好政务公开职能，按照要求</w:t>
      </w:r>
      <w:r>
        <w:rPr>
          <w:rFonts w:hint="eastAsia" w:ascii="仿宋_GB2312" w:hAnsi="微软雅黑" w:eastAsia="仿宋_GB2312"/>
          <w:sz w:val="32"/>
          <w:szCs w:val="32"/>
        </w:rPr>
        <w:t>及时发布</w:t>
      </w:r>
      <w:r>
        <w:rPr>
          <w:rFonts w:hint="eastAsia" w:ascii="仿宋_GB2312" w:hAnsi="微软雅黑" w:eastAsia="仿宋_GB2312"/>
          <w:sz w:val="32"/>
          <w:szCs w:val="32"/>
          <w:lang w:eastAsia="zh-CN"/>
        </w:rPr>
        <w:t>、</w:t>
      </w:r>
      <w:r>
        <w:rPr>
          <w:rFonts w:hint="eastAsia" w:ascii="仿宋_GB2312" w:hAnsi="微软雅黑" w:eastAsia="仿宋_GB2312"/>
          <w:sz w:val="32"/>
          <w:szCs w:val="32"/>
        </w:rPr>
        <w:t>更新政府信息，以社会需求</w:t>
      </w:r>
      <w:r>
        <w:rPr>
          <w:rFonts w:hint="eastAsia" w:ascii="仿宋_GB2312" w:hAnsi="微软雅黑" w:eastAsia="仿宋_GB2312"/>
          <w:sz w:val="32"/>
          <w:szCs w:val="32"/>
          <w:lang w:val="en-US" w:eastAsia="zh-CN"/>
        </w:rPr>
        <w:t>和中心工作</w:t>
      </w:r>
      <w:r>
        <w:rPr>
          <w:rFonts w:hint="eastAsia" w:ascii="仿宋_GB2312" w:hAnsi="微软雅黑" w:eastAsia="仿宋_GB2312"/>
          <w:sz w:val="32"/>
          <w:szCs w:val="32"/>
        </w:rPr>
        <w:t>为导向，不断丰富信息公开的内容，创新信息</w:t>
      </w:r>
      <w:r>
        <w:rPr>
          <w:rFonts w:hint="eastAsia" w:ascii="仿宋_GB2312" w:hAnsi="微软雅黑" w:eastAsia="仿宋_GB2312"/>
          <w:sz w:val="32"/>
          <w:szCs w:val="32"/>
          <w:lang w:val="en-US" w:eastAsia="zh-CN"/>
        </w:rPr>
        <w:t>发布形式</w:t>
      </w:r>
      <w:r>
        <w:rPr>
          <w:rFonts w:hint="eastAsia" w:ascii="仿宋_GB2312" w:hAnsi="微软雅黑" w:eastAsia="仿宋_GB2312"/>
          <w:sz w:val="32"/>
          <w:szCs w:val="32"/>
        </w:rPr>
        <w:t>。</w:t>
      </w:r>
    </w:p>
    <w:p>
      <w:pPr>
        <w:pStyle w:val="4"/>
        <w:numPr>
          <w:ilvl w:val="0"/>
          <w:numId w:val="0"/>
        </w:numPr>
        <w:shd w:val="clear" w:color="auto" w:fill="FFFFFF"/>
        <w:adjustRightInd w:val="0"/>
        <w:snapToGrid w:val="0"/>
        <w:spacing w:before="0" w:beforeAutospacing="0" w:after="0" w:afterAutospacing="0"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lang w:val="en-US" w:eastAsia="zh-CN"/>
        </w:rPr>
        <w:t>3.</w:t>
      </w:r>
      <w:r>
        <w:rPr>
          <w:rFonts w:hint="eastAsia" w:ascii="仿宋_GB2312" w:hAnsi="微软雅黑" w:eastAsia="仿宋_GB2312"/>
          <w:sz w:val="32"/>
          <w:szCs w:val="32"/>
        </w:rPr>
        <w:t>严格</w:t>
      </w:r>
      <w:r>
        <w:rPr>
          <w:rFonts w:hint="eastAsia" w:ascii="仿宋_GB2312" w:hAnsi="微软雅黑" w:eastAsia="仿宋_GB2312"/>
          <w:sz w:val="32"/>
          <w:szCs w:val="32"/>
          <w:lang w:val="en-US" w:eastAsia="zh-CN"/>
        </w:rPr>
        <w:t>落实</w:t>
      </w:r>
      <w:r>
        <w:rPr>
          <w:rFonts w:hint="eastAsia" w:ascii="仿宋_GB2312" w:hAnsi="微软雅黑" w:eastAsia="仿宋_GB2312"/>
          <w:sz w:val="32"/>
          <w:szCs w:val="32"/>
        </w:rPr>
        <w:t>“三审三校”</w:t>
      </w:r>
      <w:r>
        <w:rPr>
          <w:rFonts w:hint="eastAsia" w:ascii="仿宋_GB2312" w:hAnsi="微软雅黑" w:eastAsia="仿宋_GB2312"/>
          <w:sz w:val="32"/>
          <w:szCs w:val="32"/>
          <w:lang w:val="en-US" w:eastAsia="zh-CN"/>
        </w:rPr>
        <w:t>制度</w:t>
      </w:r>
      <w:r>
        <w:rPr>
          <w:rFonts w:hint="eastAsia" w:ascii="仿宋_GB2312" w:hAnsi="微软雅黑" w:eastAsia="仿宋_GB2312"/>
          <w:sz w:val="32"/>
          <w:szCs w:val="32"/>
        </w:rPr>
        <w:t>。进一步规范</w:t>
      </w:r>
      <w:r>
        <w:rPr>
          <w:rFonts w:hint="eastAsia" w:ascii="仿宋_GB2312" w:hAnsi="微软雅黑" w:eastAsia="仿宋_GB2312"/>
          <w:sz w:val="32"/>
          <w:szCs w:val="32"/>
          <w:lang w:val="en-US" w:eastAsia="zh-CN"/>
        </w:rPr>
        <w:t>政府网站、政务新媒体信息</w:t>
      </w:r>
      <w:r>
        <w:rPr>
          <w:rFonts w:hint="eastAsia" w:ascii="仿宋_GB2312" w:hAnsi="微软雅黑" w:eastAsia="仿宋_GB2312"/>
          <w:sz w:val="32"/>
          <w:szCs w:val="32"/>
        </w:rPr>
        <w:t>发布</w:t>
      </w:r>
      <w:r>
        <w:rPr>
          <w:rFonts w:hint="eastAsia" w:ascii="仿宋_GB2312" w:hAnsi="微软雅黑" w:eastAsia="仿宋_GB2312"/>
          <w:sz w:val="32"/>
          <w:szCs w:val="32"/>
          <w:lang w:val="en-US" w:eastAsia="zh-CN"/>
        </w:rPr>
        <w:t>流程</w:t>
      </w: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严格信息发布审核</w:t>
      </w:r>
      <w:r>
        <w:rPr>
          <w:rFonts w:hint="eastAsia" w:ascii="仿宋_GB2312" w:hAnsi="微软雅黑" w:eastAsia="仿宋_GB2312"/>
          <w:sz w:val="32"/>
          <w:szCs w:val="32"/>
        </w:rPr>
        <w:t>，避免不规范或错误表述，确保内容严谨、格式规范。</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157" w:beforeLines="50" w:beforeAutospacing="0" w:after="157" w:afterLines="50" w:afterAutospacing="0" w:line="560" w:lineRule="exact"/>
        <w:ind w:firstLine="640" w:firstLineChars="200"/>
        <w:textAlignment w:val="auto"/>
        <w:rPr>
          <w:rFonts w:ascii="黑体" w:hAnsi="黑体" w:eastAsia="黑体" w:cstheme="minorBidi"/>
          <w:kern w:val="2"/>
          <w:sz w:val="32"/>
          <w:szCs w:val="32"/>
          <w:shd w:val="clear" w:color="auto" w:fill="FFFFFF"/>
        </w:rPr>
      </w:pPr>
      <w:r>
        <w:rPr>
          <w:rFonts w:hint="eastAsia" w:ascii="黑体" w:hAnsi="黑体" w:eastAsia="黑体" w:cstheme="minorBidi"/>
          <w:kern w:val="2"/>
          <w:sz w:val="32"/>
          <w:szCs w:val="32"/>
          <w:shd w:val="clear" w:color="auto" w:fill="FFFFFF"/>
        </w:rPr>
        <w:t>六、其他需要报告的事项</w:t>
      </w:r>
    </w:p>
    <w:p>
      <w:pPr>
        <w:pStyle w:val="4"/>
        <w:shd w:val="clear" w:color="auto" w:fill="FFFFFF"/>
        <w:adjustRightInd w:val="0"/>
        <w:snapToGrid w:val="0"/>
        <w:spacing w:before="0" w:beforeAutospacing="0" w:after="0" w:afterAutospacing="0" w:line="56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（一）信息处理费收取情况</w:t>
      </w:r>
    </w:p>
    <w:p>
      <w:pPr>
        <w:pStyle w:val="4"/>
        <w:shd w:val="clear" w:color="auto" w:fill="FFFFFF"/>
        <w:adjustRightInd w:val="0"/>
        <w:snapToGrid w:val="0"/>
        <w:spacing w:before="0" w:beforeAutospacing="0" w:after="0" w:afterAutospacing="0" w:line="560" w:lineRule="exact"/>
        <w:ind w:firstLine="640" w:firstLineChars="200"/>
        <w:jc w:val="both"/>
        <w:rPr>
          <w:rFonts w:hint="eastAsia" w:ascii="仿宋_GB2312" w:hAnsi="微软雅黑" w:eastAsia="仿宋_GB2312"/>
          <w:b w:val="0"/>
          <w:bCs w:val="0"/>
          <w:sz w:val="32"/>
          <w:szCs w:val="32"/>
          <w:lang w:eastAsia="zh-CN"/>
        </w:rPr>
      </w:pPr>
      <w:r>
        <w:rPr>
          <w:rFonts w:hint="eastAsia" w:ascii="仿宋_GB2312" w:hAnsi="微软雅黑" w:eastAsia="仿宋_GB2312"/>
          <w:sz w:val="32"/>
          <w:szCs w:val="32"/>
        </w:rPr>
        <w:t>依据《政府信息公开信息处理费管理办法》</w:t>
      </w:r>
      <w:r>
        <w:rPr>
          <w:rFonts w:hint="eastAsia" w:ascii="仿宋_GB2312" w:hAnsi="微软雅黑" w:eastAsia="仿宋_GB2312"/>
          <w:sz w:val="32"/>
          <w:szCs w:val="32"/>
          <w:lang w:eastAsia="zh-CN"/>
        </w:rPr>
        <w:t>，</w:t>
      </w:r>
      <w:r>
        <w:rPr>
          <w:rFonts w:hint="eastAsia" w:ascii="仿宋_GB2312" w:hAnsi="微软雅黑" w:eastAsia="仿宋_GB2312"/>
          <w:sz w:val="32"/>
          <w:szCs w:val="32"/>
          <w:lang w:val="en-US" w:eastAsia="zh-CN"/>
        </w:rPr>
        <w:t>2023年宝山镇未</w:t>
      </w:r>
      <w:r>
        <w:rPr>
          <w:rFonts w:hint="eastAsia" w:ascii="仿宋_GB2312" w:hAnsi="微软雅黑" w:eastAsia="仿宋_GB2312"/>
          <w:sz w:val="32"/>
          <w:szCs w:val="32"/>
        </w:rPr>
        <w:t>收取信息处理费</w:t>
      </w:r>
      <w:r>
        <w:rPr>
          <w:rFonts w:hint="eastAsia" w:ascii="仿宋_GB2312" w:hAnsi="微软雅黑" w:eastAsia="仿宋_GB2312"/>
          <w:sz w:val="32"/>
          <w:szCs w:val="32"/>
          <w:lang w:eastAsia="zh-CN"/>
        </w:rPr>
        <w:t>。</w:t>
      </w:r>
    </w:p>
    <w:p>
      <w:pPr>
        <w:pStyle w:val="4"/>
        <w:shd w:val="clear" w:color="auto" w:fill="FFFFFF"/>
        <w:adjustRightInd w:val="0"/>
        <w:snapToGrid w:val="0"/>
        <w:spacing w:before="0" w:beforeAutospacing="0" w:after="0" w:afterAutospacing="0" w:line="560" w:lineRule="exact"/>
        <w:ind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对2023年市、区两级政务公开工作要点的贯彻落实情况</w:t>
      </w:r>
    </w:p>
    <w:p>
      <w:pPr>
        <w:adjustRightInd w:val="0"/>
        <w:snapToGrid w:val="0"/>
        <w:spacing w:line="560" w:lineRule="exact"/>
        <w:ind w:firstLine="640" w:firstLineChars="200"/>
        <w:rPr>
          <w:rFonts w:hint="eastAsia" w:ascii="仿宋_GB2312" w:hAnsi="微软雅黑" w:eastAsia="仿宋_GB2312"/>
          <w:b w:val="0"/>
          <w:bCs w:val="0"/>
          <w:sz w:val="32"/>
          <w:szCs w:val="32"/>
        </w:rPr>
      </w:pPr>
      <w:r>
        <w:rPr>
          <w:rFonts w:hint="eastAsia" w:ascii="仿宋_GB2312" w:eastAsia="仿宋_GB2312"/>
          <w:sz w:val="32"/>
          <w:szCs w:val="32"/>
          <w:lang w:val="en-US" w:eastAsia="zh-CN"/>
        </w:rPr>
        <w:t>严格按照各级政务公开要点要求，持续提升</w:t>
      </w:r>
      <w:r>
        <w:rPr>
          <w:rFonts w:hint="eastAsia" w:ascii="仿宋_GB2312" w:eastAsia="仿宋_GB2312"/>
          <w:sz w:val="32"/>
          <w:szCs w:val="32"/>
        </w:rPr>
        <w:t>基层政务公开标准化规范化水平，切实保障群众知情权、表达权、参与权、监督权，以公开促落实、助监督、强监管</w:t>
      </w:r>
      <w:r>
        <w:rPr>
          <w:rFonts w:hint="eastAsia" w:ascii="仿宋_GB2312" w:eastAsia="仿宋_GB2312"/>
          <w:sz w:val="32"/>
          <w:szCs w:val="32"/>
          <w:lang w:eastAsia="zh-CN"/>
        </w:rPr>
        <w:t>。</w:t>
      </w:r>
      <w:r>
        <w:rPr>
          <w:rFonts w:hint="eastAsia" w:ascii="仿宋_GB2312" w:eastAsia="仿宋_GB2312"/>
          <w:sz w:val="32"/>
          <w:szCs w:val="32"/>
          <w:lang w:val="en-US" w:eastAsia="zh-CN"/>
        </w:rPr>
        <w:t>围绕党委政府中心工作和群众关切，利用政府网站和政务新媒体等官方平台，公开发布政策性文件，多角度政策解读工作常态化开展，</w:t>
      </w:r>
      <w:r>
        <w:rPr>
          <w:rFonts w:hint="eastAsia" w:ascii="仿宋_GB2312" w:eastAsia="仿宋_GB2312"/>
          <w:sz w:val="32"/>
          <w:szCs w:val="32"/>
        </w:rPr>
        <w:t>召开蓝莓季、苹果季等推介发布会，品牌影响力</w:t>
      </w:r>
      <w:r>
        <w:rPr>
          <w:rFonts w:hint="eastAsia" w:ascii="仿宋_GB2312" w:eastAsia="仿宋_GB2312"/>
          <w:sz w:val="32"/>
          <w:szCs w:val="32"/>
          <w:lang w:val="en-US" w:eastAsia="zh-CN"/>
        </w:rPr>
        <w:t>进一步</w:t>
      </w:r>
      <w:r>
        <w:rPr>
          <w:rFonts w:hint="eastAsia" w:ascii="仿宋_GB2312" w:eastAsia="仿宋_GB2312"/>
          <w:sz w:val="32"/>
          <w:szCs w:val="32"/>
        </w:rPr>
        <w:t>放大</w:t>
      </w:r>
      <w:r>
        <w:rPr>
          <w:rFonts w:hint="eastAsia" w:ascii="仿宋_GB2312" w:eastAsia="仿宋_GB2312"/>
          <w:sz w:val="32"/>
          <w:szCs w:val="32"/>
          <w:lang w:eastAsia="zh-CN"/>
        </w:rPr>
        <w:t>，</w:t>
      </w:r>
      <w:r>
        <w:rPr>
          <w:rFonts w:hint="eastAsia" w:ascii="仿宋_GB2312" w:eastAsia="仿宋_GB2312"/>
          <w:sz w:val="32"/>
          <w:szCs w:val="32"/>
        </w:rPr>
        <w:t>组织政务公开业务培训</w:t>
      </w:r>
      <w:r>
        <w:rPr>
          <w:rFonts w:hint="eastAsia" w:ascii="仿宋_GB2312" w:eastAsia="仿宋_GB2312"/>
          <w:sz w:val="32"/>
          <w:szCs w:val="32"/>
          <w:lang w:eastAsia="zh-CN"/>
        </w:rPr>
        <w:t>，</w:t>
      </w:r>
      <w:r>
        <w:rPr>
          <w:rFonts w:hint="eastAsia" w:ascii="仿宋_GB2312" w:eastAsia="仿宋_GB2312"/>
          <w:sz w:val="32"/>
          <w:szCs w:val="32"/>
          <w:lang w:val="en-US" w:eastAsia="zh-CN"/>
        </w:rPr>
        <w:t>工作人员政务公开工作水平和能力持续提升。</w:t>
      </w:r>
    </w:p>
    <w:p>
      <w:pPr>
        <w:pStyle w:val="4"/>
        <w:shd w:val="clear" w:color="auto" w:fill="FFFFFF"/>
        <w:adjustRightInd w:val="0"/>
        <w:snapToGrid w:val="0"/>
        <w:spacing w:before="0" w:beforeAutospacing="0" w:after="0" w:afterAutospacing="0" w:line="560" w:lineRule="exact"/>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（三）人大代表建议和政协提案办理结果公开情况</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微软雅黑" w:eastAsia="仿宋_GB2312"/>
          <w:b w:val="0"/>
          <w:bCs w:val="0"/>
          <w:sz w:val="32"/>
          <w:szCs w:val="32"/>
          <w:lang w:val="en-US" w:eastAsia="zh-CN"/>
        </w:rPr>
      </w:pPr>
      <w:r>
        <w:rPr>
          <w:rFonts w:hint="eastAsia" w:ascii="仿宋_GB2312" w:hAnsi="微软雅黑" w:eastAsia="仿宋_GB2312"/>
          <w:b w:val="0"/>
          <w:bCs w:val="0"/>
          <w:sz w:val="32"/>
          <w:szCs w:val="32"/>
          <w:lang w:val="en-US" w:eastAsia="zh-CN"/>
        </w:rPr>
        <w:t>无。</w:t>
      </w:r>
    </w:p>
    <w:p>
      <w:pPr>
        <w:pStyle w:val="4"/>
        <w:shd w:val="clear" w:color="auto" w:fill="FFFFFF"/>
        <w:adjustRightInd w:val="0"/>
        <w:snapToGrid w:val="0"/>
        <w:spacing w:before="0" w:beforeAutospacing="0" w:after="0" w:afterAutospacing="0" w:line="560" w:lineRule="exact"/>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（四）本年度政务公开工作创新情况</w:t>
      </w:r>
    </w:p>
    <w:p>
      <w:pPr>
        <w:pStyle w:val="4"/>
        <w:shd w:val="clear" w:color="auto" w:fill="FFFFFF"/>
        <w:adjustRightInd w:val="0"/>
        <w:snapToGrid w:val="0"/>
        <w:spacing w:before="0" w:beforeAutospacing="0" w:after="0" w:afterAutospacing="0" w:line="560" w:lineRule="exact"/>
        <w:ind w:firstLine="640" w:firstLineChars="200"/>
        <w:jc w:val="both"/>
        <w:rPr>
          <w:rFonts w:hint="default" w:ascii="仿宋_GB2312" w:hAnsi="微软雅黑" w:eastAsia="仿宋_GB2312"/>
          <w:b w:val="0"/>
          <w:bCs w:val="0"/>
          <w:sz w:val="32"/>
          <w:szCs w:val="32"/>
          <w:lang w:val="en-US" w:eastAsia="zh-CN"/>
        </w:rPr>
      </w:pPr>
      <w:r>
        <w:rPr>
          <w:rFonts w:hint="eastAsia" w:ascii="仿宋_GB2312" w:hAnsi="微软雅黑" w:eastAsia="仿宋_GB2312"/>
          <w:b w:val="0"/>
          <w:bCs w:val="0"/>
          <w:sz w:val="32"/>
          <w:szCs w:val="32"/>
          <w:lang w:val="en-US" w:eastAsia="zh-CN"/>
        </w:rPr>
        <w:t>无。</w:t>
      </w:r>
    </w:p>
    <w:p>
      <w:pPr>
        <w:pStyle w:val="4"/>
        <w:shd w:val="clear" w:color="auto" w:fill="FFFFFF"/>
        <w:adjustRightInd w:val="0"/>
        <w:snapToGrid w:val="0"/>
        <w:spacing w:before="0" w:beforeAutospacing="0" w:after="0" w:afterAutospacing="0" w:line="560" w:lineRule="exact"/>
        <w:ind w:firstLine="640" w:firstLineChars="200"/>
        <w:jc w:val="both"/>
        <w:rPr>
          <w:rFonts w:hint="eastAsia" w:ascii="仿宋_GB2312" w:hAnsi="微软雅黑" w:eastAsia="仿宋_GB2312"/>
          <w:b w:val="0"/>
          <w:bCs w:val="0"/>
          <w:sz w:val="32"/>
          <w:szCs w:val="32"/>
        </w:rPr>
      </w:pPr>
      <w:r>
        <w:rPr>
          <w:rFonts w:hint="eastAsia" w:ascii="楷体_GB2312" w:hAnsi="楷体_GB2312" w:eastAsia="楷体_GB2312" w:cs="楷体_GB2312"/>
          <w:b w:val="0"/>
          <w:bCs w:val="0"/>
          <w:sz w:val="32"/>
          <w:szCs w:val="32"/>
          <w:lang w:val="en-US" w:eastAsia="zh-CN"/>
        </w:rPr>
        <w:t>（五）政府信息公开工作年度报告数据统计需要说明的事项</w:t>
      </w:r>
    </w:p>
    <w:p>
      <w:pPr>
        <w:pStyle w:val="4"/>
        <w:shd w:val="clear" w:color="auto" w:fill="FFFFFF"/>
        <w:adjustRightInd w:val="0"/>
        <w:snapToGrid w:val="0"/>
        <w:spacing w:before="0" w:beforeAutospacing="0" w:after="0" w:afterAutospacing="0" w:line="560" w:lineRule="exact"/>
        <w:ind w:firstLine="640" w:firstLineChars="200"/>
        <w:jc w:val="both"/>
        <w:rPr>
          <w:rFonts w:hint="eastAsia" w:ascii="仿宋_GB2312" w:hAnsi="微软雅黑" w:eastAsia="仿宋_GB2312"/>
          <w:b w:val="0"/>
          <w:bCs w:val="0"/>
          <w:sz w:val="32"/>
          <w:szCs w:val="32"/>
        </w:rPr>
      </w:pPr>
      <w:r>
        <w:rPr>
          <w:rFonts w:hint="eastAsia" w:ascii="仿宋_GB2312" w:hAnsi="微软雅黑" w:eastAsia="仿宋_GB2312"/>
          <w:b w:val="0"/>
          <w:bCs w:val="0"/>
          <w:sz w:val="32"/>
          <w:szCs w:val="32"/>
        </w:rPr>
        <w:t>本年度报告中所列数据的统计期限自2023年1月1日至2023年12月31日。</w:t>
      </w:r>
    </w:p>
    <w:p>
      <w:pPr>
        <w:pStyle w:val="4"/>
        <w:shd w:val="clear" w:color="auto" w:fill="FFFFFF"/>
        <w:adjustRightInd w:val="0"/>
        <w:snapToGrid w:val="0"/>
        <w:spacing w:before="0" w:beforeAutospacing="0" w:after="0" w:afterAutospacing="0" w:line="560" w:lineRule="exact"/>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（六）本行政机关认为需要报告的其他事项</w:t>
      </w:r>
    </w:p>
    <w:p>
      <w:pPr>
        <w:pStyle w:val="4"/>
        <w:shd w:val="clear" w:color="auto" w:fill="FFFFFF"/>
        <w:adjustRightInd w:val="0"/>
        <w:snapToGrid w:val="0"/>
        <w:spacing w:before="0" w:beforeAutospacing="0" w:after="0" w:afterAutospacing="0" w:line="560" w:lineRule="exact"/>
        <w:ind w:firstLine="640" w:firstLineChars="200"/>
        <w:jc w:val="both"/>
        <w:rPr>
          <w:rFonts w:hint="eastAsia" w:ascii="仿宋_GB2312" w:hAnsi="微软雅黑" w:eastAsia="仿宋_GB2312"/>
          <w:b w:val="0"/>
          <w:bCs w:val="0"/>
          <w:sz w:val="32"/>
          <w:szCs w:val="32"/>
        </w:rPr>
      </w:pPr>
      <w:r>
        <w:rPr>
          <w:rFonts w:hint="eastAsia" w:ascii="仿宋_GB2312" w:hAnsi="微软雅黑" w:eastAsia="仿宋_GB2312"/>
          <w:b w:val="0"/>
          <w:bCs w:val="0"/>
          <w:sz w:val="32"/>
          <w:szCs w:val="32"/>
        </w:rPr>
        <w:t>无。</w:t>
      </w:r>
    </w:p>
    <w:p>
      <w:pPr>
        <w:pStyle w:val="4"/>
        <w:shd w:val="clear" w:color="auto" w:fill="FFFFFF"/>
        <w:adjustRightInd w:val="0"/>
        <w:snapToGrid w:val="0"/>
        <w:spacing w:before="0" w:beforeAutospacing="0" w:after="0" w:afterAutospacing="0" w:line="560" w:lineRule="exact"/>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（七）其他有关文件专门要求通过政府信息公开工作年度报告予以报告的事项</w:t>
      </w:r>
    </w:p>
    <w:p>
      <w:pPr>
        <w:pStyle w:val="4"/>
        <w:shd w:val="clear" w:color="auto" w:fill="FFFFFF"/>
        <w:adjustRightInd w:val="0"/>
        <w:snapToGrid w:val="0"/>
        <w:spacing w:before="0" w:beforeAutospacing="0" w:after="0" w:afterAutospacing="0" w:line="560" w:lineRule="exact"/>
        <w:ind w:firstLine="640" w:firstLineChars="200"/>
        <w:jc w:val="both"/>
        <w:rPr>
          <w:rFonts w:hint="eastAsia" w:ascii="仿宋_GB2312" w:hAnsi="微软雅黑" w:eastAsia="仿宋_GB2312"/>
          <w:b w:val="0"/>
          <w:bCs w:val="0"/>
          <w:sz w:val="32"/>
          <w:szCs w:val="32"/>
        </w:rPr>
      </w:pPr>
      <w:r>
        <w:rPr>
          <w:rFonts w:hint="eastAsia" w:ascii="仿宋_GB2312" w:hAnsi="微软雅黑" w:eastAsia="仿宋_GB2312"/>
          <w:b w:val="0"/>
          <w:bCs w:val="0"/>
          <w:sz w:val="32"/>
          <w:szCs w:val="32"/>
        </w:rPr>
        <w:t>无。</w:t>
      </w:r>
    </w:p>
    <w:p>
      <w:pPr>
        <w:pStyle w:val="4"/>
        <w:shd w:val="clear" w:color="auto" w:fill="FFFFFF"/>
        <w:adjustRightInd w:val="0"/>
        <w:snapToGrid w:val="0"/>
        <w:spacing w:before="0" w:beforeAutospacing="0" w:after="0" w:afterAutospacing="0" w:line="560" w:lineRule="exact"/>
        <w:ind w:firstLine="640" w:firstLineChars="200"/>
        <w:jc w:val="both"/>
        <w:rPr>
          <w:rFonts w:hint="eastAsia" w:ascii="仿宋_GB2312" w:hAnsi="微软雅黑" w:eastAsia="仿宋_GB2312"/>
          <w:b w:val="0"/>
          <w:bCs w:val="0"/>
          <w:sz w:val="32"/>
          <w:szCs w:val="32"/>
        </w:rPr>
      </w:pPr>
    </w:p>
    <w:p>
      <w:pPr>
        <w:pStyle w:val="4"/>
        <w:shd w:val="clear" w:color="auto" w:fill="FFFFFF"/>
        <w:adjustRightInd w:val="0"/>
        <w:snapToGrid w:val="0"/>
        <w:spacing w:before="0" w:beforeAutospacing="0" w:after="0" w:afterAutospacing="0" w:line="560" w:lineRule="exact"/>
        <w:ind w:firstLine="640" w:firstLineChars="200"/>
        <w:jc w:val="both"/>
        <w:rPr>
          <w:rFonts w:hint="eastAsia" w:ascii="仿宋_GB2312" w:hAnsi="微软雅黑" w:eastAsia="仿宋_GB2312"/>
          <w:b w:val="0"/>
          <w:bCs w:val="0"/>
          <w:sz w:val="32"/>
          <w:szCs w:val="32"/>
        </w:rPr>
      </w:pPr>
    </w:p>
    <w:p>
      <w:pPr>
        <w:pStyle w:val="4"/>
        <w:shd w:val="clear" w:color="auto" w:fill="FFFFFF"/>
        <w:adjustRightInd w:val="0"/>
        <w:snapToGrid w:val="0"/>
        <w:spacing w:before="0" w:beforeAutospacing="0" w:after="0" w:afterAutospacing="0" w:line="560" w:lineRule="exact"/>
        <w:ind w:firstLine="640" w:firstLineChars="200"/>
        <w:jc w:val="both"/>
        <w:rPr>
          <w:rFonts w:hint="eastAsia" w:ascii="仿宋_GB2312" w:hAnsi="微软雅黑" w:eastAsia="仿宋_GB2312"/>
          <w:sz w:val="32"/>
          <w:szCs w:val="32"/>
          <w:lang w:eastAsia="zh-CN"/>
        </w:rPr>
      </w:pPr>
      <w:r>
        <w:rPr>
          <w:rFonts w:hint="eastAsia" w:ascii="仿宋_GB2312" w:hAnsi="微软雅黑" w:eastAsia="仿宋_GB2312"/>
          <w:sz w:val="32"/>
          <w:szCs w:val="32"/>
          <w:lang w:eastAsia="zh-CN"/>
        </w:rPr>
        <w:t>。</w:t>
      </w:r>
    </w:p>
    <w:p>
      <w:pPr>
        <w:pStyle w:val="4"/>
        <w:shd w:val="clear" w:color="auto" w:fill="FFFFFF"/>
        <w:adjustRightInd w:val="0"/>
        <w:snapToGrid w:val="0"/>
        <w:spacing w:before="0" w:beforeAutospacing="0" w:after="0" w:afterAutospacing="0" w:line="560" w:lineRule="exact"/>
        <w:ind w:firstLine="640" w:firstLineChars="200"/>
        <w:jc w:val="right"/>
        <w:rPr>
          <w:rFonts w:hint="eastAsia" w:ascii="仿宋_GB2312" w:hAnsi="微软雅黑" w:eastAsia="仿宋_GB2312"/>
          <w:sz w:val="32"/>
          <w:szCs w:val="32"/>
          <w:lang w:eastAsia="zh-CN"/>
        </w:rPr>
      </w:pPr>
    </w:p>
    <w:p>
      <w:pPr>
        <w:pStyle w:val="4"/>
        <w:shd w:val="clear" w:color="auto" w:fill="FFFFFF"/>
        <w:adjustRightInd w:val="0"/>
        <w:snapToGrid w:val="0"/>
        <w:spacing w:before="0" w:beforeAutospacing="0" w:after="0" w:afterAutospacing="0" w:line="560" w:lineRule="exact"/>
        <w:ind w:firstLine="640" w:firstLineChars="200"/>
        <w:jc w:val="right"/>
        <w:rPr>
          <w:rFonts w:ascii="仿宋_GB2312" w:hAnsi="微软雅黑" w:eastAsia="仿宋_GB2312"/>
          <w:sz w:val="32"/>
          <w:szCs w:val="32"/>
        </w:rPr>
      </w:pPr>
    </w:p>
    <w:p>
      <w:pPr>
        <w:pStyle w:val="4"/>
        <w:shd w:val="clear" w:color="auto" w:fill="FFFFFF"/>
        <w:adjustRightInd w:val="0"/>
        <w:snapToGrid w:val="0"/>
        <w:spacing w:before="0" w:beforeAutospacing="0" w:after="0" w:afterAutospacing="0" w:line="560" w:lineRule="exact"/>
        <w:ind w:firstLine="640" w:firstLineChars="200"/>
        <w:jc w:val="right"/>
        <w:rPr>
          <w:rFonts w:ascii="仿宋_GB2312" w:hAnsi="微软雅黑" w:eastAsia="仿宋_GB2312"/>
          <w:sz w:val="32"/>
          <w:szCs w:val="32"/>
        </w:rPr>
      </w:pPr>
      <w:r>
        <w:rPr>
          <w:rFonts w:hint="eastAsia" w:ascii="仿宋_GB2312" w:hAnsi="微软雅黑" w:eastAsia="仿宋_GB2312"/>
          <w:sz w:val="32"/>
          <w:szCs w:val="32"/>
        </w:rPr>
        <w:t>青岛西海岸新区宝山镇人民政府</w:t>
      </w:r>
    </w:p>
    <w:p>
      <w:pPr>
        <w:pStyle w:val="4"/>
        <w:shd w:val="clear" w:color="auto" w:fill="FFFFFF"/>
        <w:wordWrap w:val="0"/>
        <w:adjustRightInd w:val="0"/>
        <w:snapToGrid w:val="0"/>
        <w:spacing w:before="0" w:beforeAutospacing="0" w:after="0" w:afterAutospacing="0" w:line="560" w:lineRule="exact"/>
        <w:ind w:firstLine="640" w:firstLineChars="200"/>
        <w:jc w:val="right"/>
      </w:pPr>
      <w:r>
        <w:rPr>
          <w:rFonts w:hint="eastAsia" w:ascii="仿宋_GB2312" w:hAnsi="微软雅黑" w:eastAsia="仿宋_GB2312"/>
          <w:sz w:val="32"/>
          <w:szCs w:val="32"/>
        </w:rPr>
        <w:t>2024年1月</w:t>
      </w:r>
      <w:r>
        <w:rPr>
          <w:rFonts w:hint="eastAsia" w:ascii="仿宋_GB2312" w:hAnsi="微软雅黑" w:eastAsia="仿宋_GB2312"/>
          <w:sz w:val="32"/>
          <w:szCs w:val="32"/>
          <w:lang w:val="en-US" w:eastAsia="zh-CN"/>
        </w:rPr>
        <w:t>12</w:t>
      </w:r>
      <w:r>
        <w:rPr>
          <w:rFonts w:hint="eastAsia" w:ascii="仿宋_GB2312" w:hAnsi="微软雅黑" w:eastAsia="仿宋_GB2312"/>
          <w:sz w:val="32"/>
          <w:szCs w:val="32"/>
        </w:rPr>
        <w:t xml:space="preserve">日 </w:t>
      </w:r>
      <w:r>
        <w:rPr>
          <w:rFonts w:ascii="仿宋_GB2312" w:hAnsi="微软雅黑" w:eastAsia="仿宋_GB2312"/>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k4Yjg4YTNiMTIyYWVlOTg2YTYwNTY2ZGMzZDE2ODAifQ=="/>
    <w:docVar w:name="KSO_WPS_MARK_KEY" w:val="e2cc99db-69c1-4539-97e8-6762dbd490a5"/>
  </w:docVars>
  <w:rsids>
    <w:rsidRoot w:val="008E34D5"/>
    <w:rsid w:val="00273BDC"/>
    <w:rsid w:val="002A4D3C"/>
    <w:rsid w:val="002A4F7B"/>
    <w:rsid w:val="003E2356"/>
    <w:rsid w:val="004731CE"/>
    <w:rsid w:val="00656CDC"/>
    <w:rsid w:val="006B23D2"/>
    <w:rsid w:val="006B6274"/>
    <w:rsid w:val="00740025"/>
    <w:rsid w:val="007D523D"/>
    <w:rsid w:val="00837B58"/>
    <w:rsid w:val="00864066"/>
    <w:rsid w:val="008E2B6E"/>
    <w:rsid w:val="008E34D5"/>
    <w:rsid w:val="00906763"/>
    <w:rsid w:val="00921EA9"/>
    <w:rsid w:val="009D2257"/>
    <w:rsid w:val="00E63D2B"/>
    <w:rsid w:val="00F95956"/>
    <w:rsid w:val="07AD2313"/>
    <w:rsid w:val="08B51007"/>
    <w:rsid w:val="156F649D"/>
    <w:rsid w:val="28E0069D"/>
    <w:rsid w:val="3F756A43"/>
    <w:rsid w:val="473934D0"/>
    <w:rsid w:val="47563652"/>
    <w:rsid w:val="47E30B3D"/>
    <w:rsid w:val="70EA6718"/>
    <w:rsid w:val="76D33CC8"/>
    <w:rsid w:val="77E02D9B"/>
    <w:rsid w:val="78D7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customStyle="1" w:styleId="8">
    <w:name w:val="页眉 字符"/>
    <w:basedOn w:val="6"/>
    <w:link w:val="3"/>
    <w:autoRedefine/>
    <w:qFormat/>
    <w:uiPriority w:val="99"/>
    <w:rPr>
      <w:sz w:val="18"/>
      <w:szCs w:val="18"/>
    </w:rPr>
  </w:style>
  <w:style w:type="character" w:customStyle="1" w:styleId="9">
    <w:name w:val="页脚 字符"/>
    <w:basedOn w:val="6"/>
    <w:link w:val="2"/>
    <w:autoRedefine/>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66668-E43E-4DC7-BE6A-F84AC32E422E}">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393</Words>
  <Characters>2242</Characters>
  <Lines>18</Lines>
  <Paragraphs>5</Paragraphs>
  <TotalTime>28</TotalTime>
  <ScaleCrop>false</ScaleCrop>
  <LinksUpToDate>false</LinksUpToDate>
  <CharactersWithSpaces>2630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2024-01-03T12:21:00Z</dcterms:created>
  <dc:creator>Administrator</dc:creator>
  <cp:lastModifiedBy>Administrator</cp:lastModifiedBy>
  <dcterms:modified xsi:type="dcterms:W3CDTF">2024-01-18T08:00:55Z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A6AF007A3AF14576A6CFE5B592DA6AE9_12</vt:lpwstr>
  </property>
</Properties>
</file>