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96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cs="仿宋_GB2312"/>
          <w:color w:val="auto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薛家岛街道简介</w:t>
      </w:r>
    </w:p>
    <w:p w14:paraId="2003D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cs="仿宋_GB2312"/>
          <w:color w:val="auto"/>
          <w:sz w:val="32"/>
          <w:szCs w:val="32"/>
        </w:rPr>
      </w:pPr>
    </w:p>
    <w:p w14:paraId="551C8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color w:val="auto"/>
          <w:sz w:val="32"/>
          <w:szCs w:val="32"/>
        </w:rPr>
        <w:t>薛家岛街道位于胶州湾西岸，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青岛</w:t>
      </w:r>
      <w:r>
        <w:rPr>
          <w:rFonts w:hint="eastAsia" w:ascii="仿宋_GB2312" w:hAnsi="仿宋_GB2312" w:cs="仿宋_GB2312"/>
          <w:color w:val="auto"/>
          <w:sz w:val="32"/>
          <w:szCs w:val="32"/>
        </w:rPr>
        <w:t>西海岸新区最东部，海岸线长5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cs="仿宋_GB2312"/>
          <w:color w:val="auto"/>
          <w:sz w:val="32"/>
          <w:szCs w:val="32"/>
        </w:rPr>
        <w:t>公里，总面积55平方公里，东南部27平方公里区域为国家级旅游度假区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cs="仿宋_GB2312"/>
          <w:color w:val="auto"/>
          <w:sz w:val="32"/>
          <w:szCs w:val="32"/>
        </w:rPr>
        <w:t>是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青岛</w:t>
      </w:r>
      <w:r>
        <w:rPr>
          <w:rFonts w:hint="eastAsia" w:ascii="仿宋_GB2312" w:hAnsi="仿宋_GB2312" w:cs="仿宋_GB2312"/>
          <w:color w:val="auto"/>
          <w:sz w:val="32"/>
          <w:szCs w:val="32"/>
        </w:rPr>
        <w:t>西海岸新区率先实现全域城市化的街道。辖2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cs="仿宋_GB2312"/>
          <w:color w:val="auto"/>
          <w:sz w:val="32"/>
          <w:szCs w:val="32"/>
        </w:rPr>
        <w:t>个社区和33个股份经济合作社，总人口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cs="仿宋_GB2312"/>
          <w:color w:val="auto"/>
          <w:sz w:val="32"/>
          <w:szCs w:val="32"/>
        </w:rPr>
        <w:t>万。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获评山东省“担当作为好班子”，连续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lang w:val="en-US" w:eastAsia="zh-CN" w:bidi="ar-SA"/>
        </w:rPr>
        <w:t>26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年保持“省级精神文明单位”。</w:t>
      </w:r>
    </w:p>
    <w:p w14:paraId="744A0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世界级文旅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资源在这里集聚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拥</w:t>
      </w:r>
      <w:r>
        <w:rPr>
          <w:rFonts w:hint="eastAsia" w:ascii="仿宋_GB2312" w:hAnsi="仿宋_GB2312" w:cs="仿宋_GB2312"/>
          <w:color w:val="auto"/>
          <w:sz w:val="32"/>
          <w:szCs w:val="32"/>
        </w:rPr>
        <w:t>有金沙滩、银沙滩、唐岛湾、中国院子等旅游地标，布局涵碧楼、温德姆、希尔顿等世界知名酒店，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青岛金沙滩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  <w:shd w:val="clear" w:color="auto" w:fill="FFFFFF"/>
          <w:lang w:val="en-US" w:eastAsia="zh-CN"/>
        </w:rPr>
        <w:t>啤酒城晋升国家级旅游休闲街区</w:t>
      </w:r>
      <w:r>
        <w:rPr>
          <w:rFonts w:hint="eastAsia" w:ascii="仿宋_GB2312" w:hAnsi="仿宋_GB2312" w:cs="仿宋_GB2312"/>
          <w:b w:val="0"/>
          <w:bCs w:val="0"/>
          <w:color w:val="auto"/>
          <w:kern w:val="0"/>
          <w:sz w:val="32"/>
          <w:szCs w:val="32"/>
          <w:u w:val="none"/>
          <w:shd w:val="clear" w:color="auto" w:fill="FFFFFF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  <w:shd w:val="clear" w:color="auto" w:fill="FFFFFF"/>
          <w:lang w:val="en-US" w:eastAsia="zh-CN"/>
        </w:rPr>
        <w:t>纳客6</w:t>
      </w:r>
      <w:r>
        <w:rPr>
          <w:rFonts w:hint="eastAsia" w:ascii="仿宋_GB2312" w:hAnsi="仿宋_GB2312" w:cs="仿宋_GB2312"/>
          <w:b w:val="0"/>
          <w:bCs w:val="0"/>
          <w:color w:val="auto"/>
          <w:kern w:val="0"/>
          <w:sz w:val="32"/>
          <w:szCs w:val="32"/>
          <w:u w:val="none"/>
          <w:shd w:val="clear" w:color="auto" w:fill="FFFFFF"/>
          <w:lang w:val="en-US" w:eastAsia="zh-CN"/>
        </w:rPr>
        <w:t>36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  <w:shd w:val="clear" w:color="auto" w:fill="FFFFFF"/>
          <w:lang w:val="en-US" w:eastAsia="zh-CN"/>
        </w:rPr>
        <w:t>万人次</w:t>
      </w:r>
      <w:r>
        <w:rPr>
          <w:rFonts w:hint="eastAsia" w:ascii="仿宋_GB2312" w:hAnsi="仿宋_GB2312" w:cs="仿宋_GB2312"/>
          <w:b w:val="0"/>
          <w:bCs w:val="0"/>
          <w:color w:val="auto"/>
          <w:kern w:val="0"/>
          <w:sz w:val="32"/>
          <w:szCs w:val="32"/>
          <w:u w:val="none"/>
          <w:shd w:val="clear" w:color="auto" w:fill="FFFFFF"/>
          <w:lang w:val="en-US" w:eastAsia="zh-CN"/>
        </w:rPr>
        <w:t>，刷新历史纪录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  <w:shd w:val="clear" w:color="auto" w:fill="FFFFFF"/>
          <w:lang w:val="en-US" w:eastAsia="zh-CN"/>
        </w:rPr>
        <w:t>。</w:t>
      </w:r>
      <w:r>
        <w:rPr>
          <w:rFonts w:hint="eastAsia" w:ascii="仿宋_GB2312" w:hAnsi="仿宋_GB2312" w:cs="仿宋_GB2312"/>
          <w:color w:val="auto"/>
          <w:sz w:val="32"/>
          <w:szCs w:val="32"/>
        </w:rPr>
        <w:t>360°全景秀演《海上有青岛》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作为</w:t>
      </w:r>
      <w:r>
        <w:rPr>
          <w:rFonts w:hint="eastAsia" w:ascii="仿宋_GB2312" w:hAnsi="仿宋_GB2312" w:cs="仿宋_GB2312"/>
          <w:color w:val="auto"/>
          <w:sz w:val="32"/>
          <w:szCs w:val="32"/>
        </w:rPr>
        <w:t>青岛首个大型户外演艺项目和山东省重点文旅项目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在西海岸凤凰岛艺术中心上演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打造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金沙滩凤凰里商业街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、南岛“嗨儿街”、山里海鲜大排档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、尚嘉中心“两街一档一中心”特色商业街圈，“烟台前海鲜一条街”、南岛“嗨儿街”荣获青岛市创业型特色街区荣誉称号，金沙滩啤酒城入选山东省创业街区建设试点。</w:t>
      </w:r>
      <w:r>
        <w:rPr>
          <w:rFonts w:hint="eastAsia" w:ascii="仿宋_GB2312" w:hAnsi="仿宋_GB2312" w:cs="仿宋_GB2312"/>
          <w:color w:val="auto"/>
          <w:sz w:val="32"/>
          <w:szCs w:val="32"/>
        </w:rPr>
        <w:t>新区四张国际名片中的“啤酒之城”“音乐之岛”落户于此、闪耀世界。</w:t>
      </w:r>
    </w:p>
    <w:p w14:paraId="4D2CE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1417" w:gutter="0"/>
          <w:pgNumType w:fmt="decimal"/>
          <w:cols w:space="425" w:num="1"/>
          <w:docGrid w:type="lines" w:linePitch="312" w:charSpace="0"/>
        </w:sectPr>
      </w:pPr>
      <w:r>
        <w:rPr>
          <w:rFonts w:ascii="仿宋_GB2312" w:hAnsi="仿宋_GB2312" w:cs="仿宋_GB2312"/>
          <w:color w:val="auto"/>
          <w:sz w:val="32"/>
          <w:szCs w:val="32"/>
        </w:rPr>
        <w:t>国家规划建设的三大造船基地之一青岛海西湾船舶海工产业基地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坐落于此</w:t>
      </w:r>
      <w:r>
        <w:rPr>
          <w:rFonts w:hint="eastAsia" w:ascii="仿宋_GB2312" w:hAnsi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  <w:shd w:val="clear" w:color="auto" w:fill="FFFFFF"/>
          <w:lang w:val="en-US" w:eastAsia="zh-CN"/>
        </w:rPr>
        <w:t>接连交付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全球首艘10万吨级智慧渔业养殖工船“国信一号”、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  <w:shd w:val="clear" w:color="auto" w:fill="FFFFFF"/>
          <w:lang w:val="en-US" w:eastAsia="zh-CN"/>
        </w:rPr>
        <w:t>世界最大的圆筒形“企鹅”FPSO等众多国际项目，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吸引壳牌等5家世界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500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强企业分支机构入驻</w:t>
      </w:r>
      <w:r>
        <w:rPr>
          <w:rFonts w:hint="eastAsia" w:ascii="仿宋_GB2312" w:hAnsi="仿宋_GB2312" w:cs="仿宋_GB2312"/>
          <w:b w:val="0"/>
          <w:bCs w:val="0"/>
          <w:color w:val="auto"/>
          <w:kern w:val="0"/>
          <w:sz w:val="32"/>
          <w:szCs w:val="32"/>
          <w:u w:val="none"/>
          <w:shd w:val="clear" w:color="auto" w:fill="FFFFFF"/>
          <w:lang w:val="en-US" w:eastAsia="zh-CN"/>
        </w:rPr>
        <w:t>，</w:t>
      </w:r>
      <w:r>
        <w:rPr>
          <w:rFonts w:hint="eastAsia" w:ascii="仿宋_GB2312" w:hAnsi="仿宋_GB2312" w:cs="仿宋_GB2312"/>
          <w:color w:val="auto"/>
          <w:sz w:val="32"/>
          <w:szCs w:val="32"/>
        </w:rPr>
        <w:t>船舶海工产业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产值</w:t>
      </w:r>
      <w:r>
        <w:rPr>
          <w:rFonts w:hint="eastAsia" w:ascii="仿宋_GB2312" w:hAnsi="仿宋_GB2312" w:cs="仿宋_GB2312"/>
          <w:color w:val="auto"/>
          <w:sz w:val="32"/>
          <w:szCs w:val="32"/>
        </w:rPr>
        <w:t>占全区的80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</w:rPr>
        <w:t>%以上。202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</w:rPr>
        <w:t>年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上半年，完成固定资产投资35.8亿元（其中技改5.8亿元，增速508%），规上工业产值136.02亿元、增速12.1%，服务业营收2.66亿元、增速27.6%，社销额12.3亿元、增速37.2%，一般公共预算收入6.84亿元、增速1.1%，新增财源项目实现地方税收1873万元。完成集体经济纯收入2989.16万元、新增经营性收入132.52万元。推进中海油建造能力提升、竹岔岛、贝壳博物馆等18个总投资53.3亿元固定资产投资项目加快建设，3个项目申报专项债。</w:t>
      </w:r>
      <w:bookmarkStart w:id="0" w:name="_GoBack"/>
      <w:bookmarkEnd w:id="0"/>
    </w:p>
    <w:p w14:paraId="0DDF49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楷体_GB2312" w:hAnsi="楷体_GB2312" w:eastAsia="楷体_GB2312" w:cs="楷体_GB2312"/>
          <w:color w:val="000000"/>
          <w:sz w:val="36"/>
          <w:szCs w:val="36"/>
          <w:shd w:val="clear" w:color="auto" w:fill="FFFFFF"/>
          <w:lang w:val="en-US" w:eastAsia="zh-CN"/>
        </w:rPr>
      </w:pPr>
    </w:p>
    <w:sectPr>
      <w:footerReference r:id="rId4" w:type="default"/>
      <w:pgSz w:w="11906" w:h="16838"/>
      <w:pgMar w:top="2098" w:right="1474" w:bottom="1984" w:left="1587" w:header="851" w:footer="1417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28AFA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F59DAD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F59DAD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E196DA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9D1B5D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9D1B5D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kM2RkZmIzZDdhMzhlZjM1YjcxZmUyMzQyYmNlYTIifQ=="/>
  </w:docVars>
  <w:rsids>
    <w:rsidRoot w:val="0CA55C84"/>
    <w:rsid w:val="011E0236"/>
    <w:rsid w:val="0168592A"/>
    <w:rsid w:val="03D655D6"/>
    <w:rsid w:val="07AD2E51"/>
    <w:rsid w:val="07B67B2D"/>
    <w:rsid w:val="09E75B8A"/>
    <w:rsid w:val="0BD56978"/>
    <w:rsid w:val="0CA55C84"/>
    <w:rsid w:val="0E311320"/>
    <w:rsid w:val="0E511C4A"/>
    <w:rsid w:val="13486A97"/>
    <w:rsid w:val="136452FF"/>
    <w:rsid w:val="14B76C4D"/>
    <w:rsid w:val="156D33E9"/>
    <w:rsid w:val="157C66C3"/>
    <w:rsid w:val="169973B1"/>
    <w:rsid w:val="171E3195"/>
    <w:rsid w:val="183E1B09"/>
    <w:rsid w:val="195C14A3"/>
    <w:rsid w:val="1963586A"/>
    <w:rsid w:val="198455C8"/>
    <w:rsid w:val="1DFA6EC3"/>
    <w:rsid w:val="1E4F44E3"/>
    <w:rsid w:val="20436F19"/>
    <w:rsid w:val="256A4F48"/>
    <w:rsid w:val="2A450445"/>
    <w:rsid w:val="2A9E023C"/>
    <w:rsid w:val="2AAA4765"/>
    <w:rsid w:val="2C290DEF"/>
    <w:rsid w:val="2E157797"/>
    <w:rsid w:val="2E1D349F"/>
    <w:rsid w:val="2F4A36C5"/>
    <w:rsid w:val="2F9D3363"/>
    <w:rsid w:val="320C1861"/>
    <w:rsid w:val="35AD2A4B"/>
    <w:rsid w:val="36704BD5"/>
    <w:rsid w:val="36DB3EF8"/>
    <w:rsid w:val="37596C3C"/>
    <w:rsid w:val="37D0718F"/>
    <w:rsid w:val="39CA47E8"/>
    <w:rsid w:val="39F87B6A"/>
    <w:rsid w:val="3A3027B8"/>
    <w:rsid w:val="3BA532D3"/>
    <w:rsid w:val="3BEE4758"/>
    <w:rsid w:val="3D12333C"/>
    <w:rsid w:val="3E622F57"/>
    <w:rsid w:val="3EA1376E"/>
    <w:rsid w:val="3F9D51FE"/>
    <w:rsid w:val="42025257"/>
    <w:rsid w:val="45D60C4F"/>
    <w:rsid w:val="46831313"/>
    <w:rsid w:val="476255A6"/>
    <w:rsid w:val="47762134"/>
    <w:rsid w:val="48D52555"/>
    <w:rsid w:val="4A5E7C85"/>
    <w:rsid w:val="4B8546AA"/>
    <w:rsid w:val="4D624D84"/>
    <w:rsid w:val="4F56301D"/>
    <w:rsid w:val="4FE33865"/>
    <w:rsid w:val="52B707B7"/>
    <w:rsid w:val="53267789"/>
    <w:rsid w:val="532E0F45"/>
    <w:rsid w:val="54975ADC"/>
    <w:rsid w:val="55B40337"/>
    <w:rsid w:val="567F795E"/>
    <w:rsid w:val="56A47A0A"/>
    <w:rsid w:val="57202E4C"/>
    <w:rsid w:val="587A6C75"/>
    <w:rsid w:val="58CF6DBC"/>
    <w:rsid w:val="59FF3139"/>
    <w:rsid w:val="5F5F0972"/>
    <w:rsid w:val="5F6A45D7"/>
    <w:rsid w:val="60E02240"/>
    <w:rsid w:val="62D12BD5"/>
    <w:rsid w:val="65917DD3"/>
    <w:rsid w:val="67577A53"/>
    <w:rsid w:val="682E5ACE"/>
    <w:rsid w:val="6B916130"/>
    <w:rsid w:val="6D8A49CA"/>
    <w:rsid w:val="6E1C003C"/>
    <w:rsid w:val="6ED82EFE"/>
    <w:rsid w:val="6EE84DE3"/>
    <w:rsid w:val="70C53C42"/>
    <w:rsid w:val="70F735D9"/>
    <w:rsid w:val="722C7F38"/>
    <w:rsid w:val="73D94D40"/>
    <w:rsid w:val="75215511"/>
    <w:rsid w:val="752B15CB"/>
    <w:rsid w:val="7B0531CB"/>
    <w:rsid w:val="7CEF349F"/>
    <w:rsid w:val="7E4E53F2"/>
    <w:rsid w:val="7FB73AE2"/>
    <w:rsid w:val="7FFE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keepNext w:val="0"/>
      <w:keepLines w:val="0"/>
      <w:spacing w:before="260" w:beforeLines="0" w:after="260" w:afterLines="0" w:line="413" w:lineRule="auto"/>
      <w:jc w:val="left"/>
      <w:outlineLvl w:val="2"/>
    </w:pPr>
    <w:rPr>
      <w:rFonts w:ascii="Times New Roman" w:hAnsi="Times New Roman" w:eastAsia="仿宋" w:cs="Times New Roman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 w:afterAutospacing="0"/>
    </w:pPr>
    <w:rPr>
      <w:rFonts w:ascii="Times New Roman" w:hAnsi="Times New Roman" w:eastAsia="宋体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99"/>
  </w:style>
  <w:style w:type="character" w:styleId="11">
    <w:name w:val="Hyperlink"/>
    <w:basedOn w:val="8"/>
    <w:unhideWhenUsed/>
    <w:qFormat/>
    <w:uiPriority w:val="99"/>
    <w:rPr>
      <w:color w:val="0000FF"/>
      <w:u w:val="single"/>
    </w:rPr>
  </w:style>
  <w:style w:type="paragraph" w:customStyle="1" w:styleId="12">
    <w:name w:val="_Style 1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614</Words>
  <Characters>661</Characters>
  <Lines>0</Lines>
  <Paragraphs>0</Paragraphs>
  <TotalTime>1</TotalTime>
  <ScaleCrop>false</ScaleCrop>
  <LinksUpToDate>false</LinksUpToDate>
  <CharactersWithSpaces>661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2023-08-14T00:58:00Z</dcterms:created>
  <dc:creator>木子</dc:creator>
  <cp:lastModifiedBy>扯不断的是回忆1380451236</cp:lastModifiedBy>
  <cp:lastPrinted>2025-02-24T12:55:00Z</cp:lastPrinted>
  <dcterms:modified xsi:type="dcterms:W3CDTF">2025-07-22T01:40:32Z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AEDED47DD97F47BEA6A7100AE3A591C6_13</vt:lpwstr>
  </property>
  <property fmtid="{D5CDD505-2E9C-101B-9397-08002B2CF9AE}" pid="4" name="KSOTemplateDocerSaveRecord">
    <vt:lpwstr>eyJoZGlkIjoiMjJkM2RkZmIzZDdhMzhlZjM1YjcxZmUyMzQyYmNlYTIiLCJ1c2VySWQiOiI1NDEyOTAyIn0=</vt:lpwstr>
  </property>
</Properties>
</file>