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63" w:lineRule="atLeast"/>
        <w:jc w:val="center"/>
        <w:rPr>
          <w:rFonts w:hint="eastAsia" w:ascii="仿宋_GB2312" w:eastAsia="仿宋_GB2312"/>
          <w:color w:val="auto"/>
          <w:sz w:val="44"/>
          <w:szCs w:val="44"/>
        </w:rPr>
      </w:pPr>
      <w:r>
        <w:rPr>
          <w:rFonts w:hint="eastAsia" w:ascii="方正小标宋_GBK" w:hAnsi="方正小标宋_GBK" w:eastAsia="方正小标宋_GBK" w:cs="方正小标宋_GBK"/>
          <w:b w:val="0"/>
          <w:bCs w:val="0"/>
          <w:color w:val="auto"/>
          <w:sz w:val="44"/>
          <w:szCs w:val="44"/>
        </w:rPr>
        <w:t>青岛西海岸新区</w:t>
      </w:r>
      <w:r>
        <w:rPr>
          <w:rFonts w:hint="eastAsia" w:ascii="方正小标宋_GBK" w:hAnsi="方正小标宋_GBK" w:eastAsia="方正小标宋_GBK" w:cs="方正小标宋_GBK"/>
          <w:b w:val="0"/>
          <w:bCs w:val="0"/>
          <w:color w:val="auto"/>
          <w:sz w:val="44"/>
          <w:szCs w:val="44"/>
          <w:lang w:val="en-US" w:eastAsia="zh-CN"/>
        </w:rPr>
        <w:t>珠海街道</w:t>
      </w:r>
      <w:r>
        <w:rPr>
          <w:rFonts w:hint="eastAsia" w:ascii="方正小标宋_GBK" w:hAnsi="方正小标宋_GBK" w:eastAsia="方正小标宋_GBK" w:cs="方正小标宋_GBK"/>
          <w:b w:val="0"/>
          <w:bCs w:val="0"/>
          <w:color w:val="auto"/>
          <w:sz w:val="44"/>
          <w:szCs w:val="44"/>
        </w:rPr>
        <w:t>20</w:t>
      </w:r>
      <w:r>
        <w:rPr>
          <w:rFonts w:hint="eastAsia" w:ascii="方正小标宋_GBK" w:hAnsi="方正小标宋_GBK" w:eastAsia="方正小标宋_GBK" w:cs="方正小标宋_GBK"/>
          <w:b w:val="0"/>
          <w:bCs w:val="0"/>
          <w:color w:val="auto"/>
          <w:sz w:val="44"/>
          <w:szCs w:val="44"/>
          <w:lang w:val="en-US" w:eastAsia="zh-CN"/>
        </w:rPr>
        <w:t>20</w:t>
      </w:r>
      <w:r>
        <w:rPr>
          <w:rFonts w:hint="eastAsia" w:ascii="方正小标宋_GBK" w:hAnsi="方正小标宋_GBK" w:eastAsia="方正小标宋_GBK" w:cs="方正小标宋_GBK"/>
          <w:b w:val="0"/>
          <w:bCs w:val="0"/>
          <w:color w:val="auto"/>
          <w:sz w:val="44"/>
          <w:szCs w:val="44"/>
        </w:rPr>
        <w:t>年政府信息工作年度报告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年度报告根据《中华人民共和国政府信息公开条例》（以下简称《条例》）编制。本报告由总体情况、主动公开政府信息情况、收到和处理政府信息公开申请情况、政府信息公开行政复议行政诉讼情况、存在的主要问题及改进情况、其他需要报告的事项共六个部分组成。本报告中所列数据的统计期限自2020年1月1日起至2020年12月31日止。本报告的电子版可在新区政(http://www.xihaian.gov.cn)下载。如对本报告有任何疑问，请与珠海街道办事处政务公开办公室联系（地址：青岛市西海岸新区铁橛山路1635号 ；邮编：266400；电话：0532-86610</w:t>
      </w:r>
      <w:r>
        <w:rPr>
          <w:rFonts w:hint="eastAsia" w:ascii="仿宋" w:hAnsi="仿宋" w:eastAsia="仿宋" w:cs="仿宋"/>
          <w:color w:val="auto"/>
          <w:sz w:val="32"/>
          <w:szCs w:val="32"/>
          <w:lang w:val="en-US" w:eastAsia="zh-CN"/>
        </w:rPr>
        <w:t>721</w:t>
      </w:r>
      <w:bookmarkStart w:id="0" w:name="_GoBack"/>
      <w:bookmarkEnd w:id="0"/>
      <w:r>
        <w:rPr>
          <w:rFonts w:hint="eastAsia" w:ascii="仿宋" w:hAnsi="仿宋" w:eastAsia="仿宋" w:cs="仿宋"/>
          <w:color w:val="auto"/>
          <w:sz w:val="32"/>
          <w:szCs w:val="32"/>
        </w:rPr>
        <w:t>；传真：0532-88182873；邮箱：zsdzbgs@126.com）。</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olor w:val="auto"/>
          <w:sz w:val="32"/>
          <w:szCs w:val="32"/>
        </w:rPr>
      </w:pPr>
      <w:r>
        <w:rPr>
          <w:rFonts w:hint="eastAsia" w:ascii="黑体" w:hAnsi="黑体" w:eastAsia="黑体"/>
          <w:color w:val="auto"/>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w:t>
      </w:r>
      <w:r>
        <w:rPr>
          <w:rFonts w:hint="eastAsia" w:ascii="仿宋" w:hAnsi="仿宋" w:eastAsia="仿宋" w:cs="仿宋"/>
          <w:color w:val="auto"/>
          <w:sz w:val="32"/>
          <w:szCs w:val="32"/>
          <w:lang w:val="en-US" w:eastAsia="zh-CN"/>
        </w:rPr>
        <w:t>海</w:t>
      </w:r>
      <w:r>
        <w:rPr>
          <w:rFonts w:hint="eastAsia" w:ascii="仿宋" w:hAnsi="仿宋" w:eastAsia="仿宋" w:cs="仿宋"/>
          <w:color w:val="auto"/>
          <w:sz w:val="32"/>
          <w:szCs w:val="32"/>
        </w:rPr>
        <w:t>街道紧紧围绕建设服务型政府、提高服务质量的总要求，认真贯彻落实西海岸新区管委信息公开工作有关精神，按照《政府信息公开条例》规定，结合工作实际，突出工作重点，进一步完善工作机制、拓展公开内容、丰富公开形式，政府信息公开工作取得了明显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主动公开情况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2020</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珠海</w:t>
      </w:r>
      <w:r>
        <w:rPr>
          <w:rFonts w:hint="eastAsia" w:ascii="仿宋" w:hAnsi="仿宋" w:eastAsia="仿宋" w:cs="仿宋"/>
          <w:color w:val="auto"/>
          <w:sz w:val="32"/>
          <w:szCs w:val="32"/>
        </w:rPr>
        <w:t>街道主动在“</w:t>
      </w:r>
      <w:r>
        <w:rPr>
          <w:rFonts w:hint="eastAsia" w:ascii="仿宋" w:hAnsi="仿宋" w:eastAsia="仿宋" w:cs="仿宋"/>
          <w:color w:val="auto"/>
          <w:sz w:val="32"/>
          <w:szCs w:val="32"/>
          <w:lang w:val="en-US" w:eastAsia="zh-CN"/>
        </w:rPr>
        <w:t>青岛西海岸新区政务网</w:t>
      </w:r>
      <w:r>
        <w:rPr>
          <w:rFonts w:hint="eastAsia" w:ascii="仿宋" w:hAnsi="仿宋" w:eastAsia="仿宋" w:cs="仿宋"/>
          <w:color w:val="auto"/>
          <w:sz w:val="32"/>
          <w:szCs w:val="32"/>
        </w:rPr>
        <w:t>”公开信息</w:t>
      </w:r>
      <w:r>
        <w:rPr>
          <w:rFonts w:hint="eastAsia" w:ascii="仿宋" w:hAnsi="仿宋" w:eastAsia="仿宋" w:cs="仿宋"/>
          <w:color w:val="auto"/>
          <w:sz w:val="32"/>
          <w:szCs w:val="32"/>
          <w:lang w:val="en-US" w:eastAsia="zh-CN"/>
        </w:rPr>
        <w:t>206</w:t>
      </w:r>
      <w:r>
        <w:rPr>
          <w:rFonts w:hint="eastAsia" w:ascii="仿宋" w:hAnsi="仿宋" w:eastAsia="仿宋" w:cs="仿宋"/>
          <w:color w:val="auto"/>
          <w:sz w:val="32"/>
          <w:szCs w:val="32"/>
        </w:rPr>
        <w:t>条，比上年增加</w:t>
      </w:r>
      <w:r>
        <w:rPr>
          <w:rFonts w:hint="eastAsia" w:ascii="仿宋" w:hAnsi="仿宋" w:eastAsia="仿宋" w:cs="仿宋"/>
          <w:color w:val="auto"/>
          <w:sz w:val="32"/>
          <w:szCs w:val="32"/>
          <w:lang w:val="en-US" w:eastAsia="zh-CN"/>
        </w:rPr>
        <w:t>89</w:t>
      </w:r>
      <w:r>
        <w:rPr>
          <w:rFonts w:hint="eastAsia" w:ascii="仿宋" w:hAnsi="仿宋" w:eastAsia="仿宋" w:cs="仿宋"/>
          <w:color w:val="auto"/>
          <w:sz w:val="32"/>
          <w:szCs w:val="32"/>
        </w:rPr>
        <w:t>条，增幅</w:t>
      </w:r>
      <w:r>
        <w:rPr>
          <w:rFonts w:hint="eastAsia" w:ascii="仿宋" w:hAnsi="仿宋" w:eastAsia="仿宋" w:cs="仿宋"/>
          <w:color w:val="auto"/>
          <w:sz w:val="32"/>
          <w:szCs w:val="32"/>
          <w:lang w:val="en-US" w:eastAsia="zh-CN"/>
        </w:rPr>
        <w:t xml:space="preserve">76 </w:t>
      </w:r>
      <w:r>
        <w:rPr>
          <w:rFonts w:hint="eastAsia" w:ascii="仿宋" w:hAnsi="仿宋" w:eastAsia="仿宋" w:cs="仿宋"/>
          <w:color w:val="auto"/>
          <w:sz w:val="32"/>
          <w:szCs w:val="32"/>
        </w:rPr>
        <w:t>%，涉及到街道工作动态、</w:t>
      </w:r>
      <w:r>
        <w:rPr>
          <w:rFonts w:hint="eastAsia" w:ascii="仿宋" w:hAnsi="仿宋" w:eastAsia="仿宋" w:cs="仿宋"/>
          <w:color w:val="auto"/>
          <w:sz w:val="32"/>
          <w:szCs w:val="32"/>
          <w:lang w:val="en-US" w:eastAsia="zh-CN"/>
        </w:rPr>
        <w:t>重点领域、</w:t>
      </w:r>
      <w:r>
        <w:rPr>
          <w:rFonts w:hint="eastAsia" w:ascii="仿宋" w:hAnsi="仿宋" w:eastAsia="仿宋" w:cs="仿宋"/>
          <w:color w:val="auto"/>
          <w:sz w:val="32"/>
          <w:szCs w:val="32"/>
        </w:rPr>
        <w:t>通知</w:t>
      </w:r>
      <w:r>
        <w:rPr>
          <w:rFonts w:hint="eastAsia" w:ascii="仿宋" w:hAnsi="仿宋" w:eastAsia="仿宋" w:cs="仿宋"/>
          <w:color w:val="auto"/>
          <w:sz w:val="32"/>
          <w:szCs w:val="32"/>
          <w:lang w:val="en-US" w:eastAsia="zh-CN"/>
        </w:rPr>
        <w:t>公告</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政策法规、</w:t>
      </w:r>
      <w:r>
        <w:rPr>
          <w:rFonts w:hint="eastAsia" w:ascii="仿宋" w:hAnsi="仿宋" w:eastAsia="仿宋" w:cs="仿宋"/>
          <w:color w:val="auto"/>
          <w:sz w:val="32"/>
          <w:szCs w:val="32"/>
        </w:rPr>
        <w:t>街道公共财政收支预决算、财政拨款“三公经费”预决算等方面</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1.平台建设</w:t>
      </w:r>
      <w:r>
        <w:rPr>
          <w:rFonts w:hint="eastAsia" w:ascii="仿宋" w:hAnsi="仿宋" w:eastAsia="仿宋" w:cs="仿宋"/>
          <w:color w:val="auto"/>
          <w:sz w:val="32"/>
          <w:szCs w:val="32"/>
        </w:rPr>
        <w:t>以需求为导向，强化重点领域信息公开。</w:t>
      </w:r>
      <w:r>
        <w:rPr>
          <w:rFonts w:hint="eastAsia" w:ascii="仿宋" w:hAnsi="仿宋" w:eastAsia="仿宋" w:cs="仿宋"/>
          <w:color w:val="auto"/>
          <w:sz w:val="32"/>
          <w:szCs w:val="32"/>
          <w:lang w:val="en-US" w:eastAsia="zh-CN"/>
        </w:rPr>
        <w:t>重点</w:t>
      </w:r>
      <w:r>
        <w:rPr>
          <w:rFonts w:hint="eastAsia" w:ascii="仿宋" w:hAnsi="仿宋" w:eastAsia="仿宋" w:cs="仿宋"/>
          <w:color w:val="auto"/>
          <w:sz w:val="32"/>
          <w:szCs w:val="32"/>
        </w:rPr>
        <w:t>做好</w:t>
      </w:r>
      <w:r>
        <w:rPr>
          <w:rFonts w:hint="eastAsia" w:ascii="仿宋" w:hAnsi="仿宋" w:eastAsia="仿宋" w:cs="仿宋"/>
          <w:color w:val="auto"/>
          <w:sz w:val="32"/>
          <w:szCs w:val="32"/>
          <w:lang w:val="en-US" w:eastAsia="zh-CN"/>
        </w:rPr>
        <w:t>政务公开网站今年新调整部分—安全生产</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社会公益、三大攻坚战等重点</w:t>
      </w:r>
      <w:r>
        <w:rPr>
          <w:rFonts w:hint="eastAsia" w:ascii="仿宋" w:hAnsi="仿宋" w:eastAsia="仿宋" w:cs="仿宋"/>
          <w:color w:val="auto"/>
          <w:sz w:val="32"/>
          <w:szCs w:val="32"/>
        </w:rPr>
        <w:t>领域的信息公开工作。安全生产领域加强了隐患管理、应急管理、动态信息、安全生产预警提示信息等信息公开工作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社会公益事业领域加大</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rPr>
        <w:t>社会救助、社会福利、医疗卫生、等方面信息公开力度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社会救助和社会福利领域加强了未成年保护的信息公开工作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三大攻坚战领域</w:t>
      </w:r>
      <w:r>
        <w:rPr>
          <w:rFonts w:hint="eastAsia" w:ascii="仿宋" w:hAnsi="仿宋" w:eastAsia="仿宋" w:cs="仿宋"/>
          <w:color w:val="auto"/>
          <w:sz w:val="32"/>
          <w:szCs w:val="32"/>
        </w:rPr>
        <w:t>深化</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rPr>
        <w:t>防范金融风险、精准脱贫、污染防治工作，规范了防范金融风险的政策文件、措施及成效的信息发布工作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围绕解决“两不愁三保障”突出问题、和特殊贫困群体脱贫攻坚扶持措施等方面，细化了社会扶贫、行业扶贫的信息公开发布。围绕开展大气污染治理攻坚</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垃圾分类处置等方面</w:t>
      </w:r>
      <w:r>
        <w:rPr>
          <w:rFonts w:hint="eastAsia" w:ascii="仿宋" w:hAnsi="仿宋" w:eastAsia="仿宋" w:cs="仿宋"/>
          <w:color w:val="auto"/>
          <w:sz w:val="32"/>
          <w:szCs w:val="32"/>
          <w:lang w:val="en-US" w:eastAsia="zh-CN"/>
        </w:rPr>
        <w:t>加大了</w:t>
      </w:r>
      <w:r>
        <w:rPr>
          <w:rFonts w:hint="eastAsia" w:ascii="仿宋" w:hAnsi="仿宋" w:eastAsia="仿宋" w:cs="仿宋"/>
          <w:color w:val="auto"/>
          <w:sz w:val="32"/>
          <w:szCs w:val="32"/>
        </w:rPr>
        <w:t>信息公开</w:t>
      </w:r>
      <w:r>
        <w:rPr>
          <w:rFonts w:hint="eastAsia" w:ascii="仿宋" w:hAnsi="仿宋" w:eastAsia="仿宋" w:cs="仿宋"/>
          <w:color w:val="auto"/>
          <w:sz w:val="32"/>
          <w:szCs w:val="32"/>
          <w:lang w:val="en-US" w:eastAsia="zh-CN"/>
        </w:rPr>
        <w:t>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加强组织保障。</w:t>
      </w:r>
      <w:r>
        <w:rPr>
          <w:rFonts w:hint="eastAsia" w:ascii="仿宋" w:hAnsi="仿宋" w:eastAsia="仿宋" w:cs="仿宋"/>
          <w:color w:val="auto"/>
          <w:sz w:val="32"/>
          <w:szCs w:val="32"/>
          <w:lang w:val="en-US" w:eastAsia="zh-CN"/>
        </w:rPr>
        <w:t>珠海街道</w:t>
      </w:r>
      <w:r>
        <w:rPr>
          <w:rFonts w:hint="eastAsia" w:ascii="仿宋" w:hAnsi="仿宋" w:eastAsia="仿宋" w:cs="仿宋"/>
          <w:color w:val="auto"/>
          <w:sz w:val="32"/>
          <w:szCs w:val="32"/>
        </w:rPr>
        <w:t>十分重视政务公开工作，切实加强领导，成立了由街道主要领导任组长，其他党政领导成员任副组长，各管区书记、处直各部门主要负责同志任成员的政府信息公开工作领导小组，下设办公室在</w:t>
      </w:r>
      <w:r>
        <w:rPr>
          <w:rFonts w:hint="eastAsia" w:ascii="仿宋" w:hAnsi="仿宋" w:eastAsia="仿宋" w:cs="仿宋"/>
          <w:color w:val="auto"/>
          <w:sz w:val="32"/>
          <w:szCs w:val="32"/>
          <w:lang w:val="en-US" w:eastAsia="zh-CN"/>
        </w:rPr>
        <w:t>新闻宣传</w:t>
      </w:r>
      <w:r>
        <w:rPr>
          <w:rFonts w:hint="eastAsia" w:ascii="仿宋" w:hAnsi="仿宋" w:eastAsia="仿宋" w:cs="仿宋"/>
          <w:color w:val="auto"/>
          <w:sz w:val="32"/>
          <w:szCs w:val="32"/>
        </w:rPr>
        <w:t>办公室，安排责任心强、综合素质优秀的</w:t>
      </w:r>
      <w:r>
        <w:rPr>
          <w:rFonts w:hint="eastAsia" w:ascii="仿宋" w:hAnsi="仿宋" w:eastAsia="仿宋" w:cs="仿宋"/>
          <w:color w:val="auto"/>
          <w:sz w:val="32"/>
          <w:szCs w:val="32"/>
          <w:lang w:val="en-US" w:eastAsia="zh-CN"/>
        </w:rPr>
        <w:t>工作人员</w:t>
      </w:r>
      <w:r>
        <w:rPr>
          <w:rFonts w:hint="eastAsia" w:ascii="仿宋" w:hAnsi="仿宋" w:eastAsia="仿宋" w:cs="仿宋"/>
          <w:color w:val="auto"/>
          <w:sz w:val="32"/>
          <w:szCs w:val="32"/>
        </w:rPr>
        <w:t>承担具体日常工作。同时，在办公室内部设置政务公开AB岗，避免因人员请假或调动引起工作中断，确保该项工作的连续性、稳定性。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健全制度。</w:t>
      </w:r>
      <w:r>
        <w:rPr>
          <w:rFonts w:hint="eastAsia" w:ascii="仿宋" w:hAnsi="仿宋" w:eastAsia="仿宋" w:cs="仿宋"/>
          <w:color w:val="auto"/>
          <w:sz w:val="32"/>
          <w:szCs w:val="32"/>
          <w:lang w:val="en-US" w:eastAsia="zh-CN"/>
        </w:rPr>
        <w:t>街道</w:t>
      </w:r>
      <w:r>
        <w:rPr>
          <w:rFonts w:hint="eastAsia" w:ascii="仿宋" w:hAnsi="仿宋" w:eastAsia="仿宋" w:cs="仿宋"/>
          <w:color w:val="auto"/>
          <w:sz w:val="32"/>
          <w:szCs w:val="32"/>
        </w:rPr>
        <w:t>建立完善了</w:t>
      </w:r>
      <w:r>
        <w:rPr>
          <w:rFonts w:hint="eastAsia" w:ascii="仿宋" w:hAnsi="仿宋" w:eastAsia="仿宋" w:cs="仿宋"/>
          <w:color w:val="auto"/>
          <w:sz w:val="32"/>
          <w:szCs w:val="32"/>
          <w:lang w:val="en-US" w:eastAsia="zh-CN"/>
        </w:rPr>
        <w:t>珠海街道</w:t>
      </w:r>
      <w:r>
        <w:rPr>
          <w:rFonts w:hint="eastAsia" w:ascii="仿宋" w:hAnsi="仿宋" w:eastAsia="仿宋" w:cs="仿宋"/>
          <w:color w:val="auto"/>
          <w:sz w:val="32"/>
          <w:szCs w:val="32"/>
        </w:rPr>
        <w:t>政府信息公开制度，建立信息收集、整理、审核、审查、公开等制度，注意信息公开及时性，严把信息审核关。对发现的信息公开更新不及时、公布资料不准确等问题立即进行整改。并将政府信息公开工作经费列入街道财政预算，为街道政府信息公开工作提供了有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4.规范目录编制，</w:t>
      </w:r>
      <w:r>
        <w:rPr>
          <w:rFonts w:hint="eastAsia" w:ascii="仿宋" w:hAnsi="仿宋" w:eastAsia="仿宋" w:cs="仿宋"/>
          <w:color w:val="auto"/>
          <w:sz w:val="32"/>
          <w:szCs w:val="32"/>
        </w:rPr>
        <w:t>加强</w:t>
      </w:r>
      <w:r>
        <w:rPr>
          <w:rFonts w:hint="eastAsia" w:ascii="仿宋" w:hAnsi="仿宋" w:eastAsia="仿宋" w:cs="仿宋"/>
          <w:color w:val="auto"/>
          <w:sz w:val="32"/>
          <w:szCs w:val="32"/>
          <w:lang w:val="en-US" w:eastAsia="zh-CN"/>
        </w:rPr>
        <w:t>基层</w:t>
      </w:r>
      <w:r>
        <w:rPr>
          <w:rFonts w:hint="eastAsia" w:ascii="仿宋" w:hAnsi="仿宋" w:eastAsia="仿宋" w:cs="仿宋"/>
          <w:color w:val="auto"/>
          <w:sz w:val="32"/>
          <w:szCs w:val="32"/>
        </w:rPr>
        <w:t>行政权力监督制约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为扎实推进基层政务公开标准化规范化，不断提升街道政务公开工作水平，引导基层政务公开工作有本可依、有章可循，</w:t>
      </w:r>
      <w:r>
        <w:rPr>
          <w:rFonts w:hint="eastAsia" w:ascii="仿宋" w:hAnsi="仿宋" w:eastAsia="仿宋" w:cs="仿宋"/>
          <w:color w:val="auto"/>
          <w:sz w:val="32"/>
          <w:szCs w:val="32"/>
          <w:lang w:val="en-US" w:eastAsia="zh-CN"/>
        </w:rPr>
        <w:t>珠海街道</w:t>
      </w:r>
      <w:r>
        <w:rPr>
          <w:rFonts w:hint="eastAsia" w:ascii="仿宋" w:hAnsi="仿宋" w:eastAsia="仿宋" w:cs="仿宋"/>
          <w:color w:val="auto"/>
          <w:sz w:val="32"/>
          <w:szCs w:val="32"/>
        </w:rPr>
        <w:t>学习借鉴</w:t>
      </w:r>
      <w:r>
        <w:rPr>
          <w:rFonts w:hint="eastAsia" w:ascii="仿宋" w:hAnsi="仿宋" w:eastAsia="仿宋" w:cs="仿宋"/>
          <w:color w:val="auto"/>
          <w:sz w:val="32"/>
          <w:szCs w:val="32"/>
          <w:lang w:val="en-US" w:eastAsia="zh-CN"/>
        </w:rPr>
        <w:t>优秀镇街</w:t>
      </w:r>
      <w:r>
        <w:rPr>
          <w:rFonts w:hint="eastAsia" w:ascii="仿宋" w:hAnsi="仿宋" w:eastAsia="仿宋" w:cs="仿宋"/>
          <w:color w:val="auto"/>
          <w:sz w:val="32"/>
          <w:szCs w:val="32"/>
        </w:rPr>
        <w:t>经验成果，编制《青岛西海岸新区珠海街道基层政务公开事项标准目录》</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定期日常整改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强化培训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定期对网站发布的应公开信息情况进行详细检查，对</w:t>
      </w:r>
      <w:r>
        <w:rPr>
          <w:rFonts w:hint="eastAsia" w:ascii="仿宋" w:hAnsi="仿宋" w:eastAsia="仿宋" w:cs="仿宋"/>
          <w:color w:val="auto"/>
          <w:sz w:val="32"/>
          <w:szCs w:val="32"/>
        </w:rPr>
        <w:t>存在问题行分类</w:t>
      </w:r>
      <w:r>
        <w:rPr>
          <w:rFonts w:hint="eastAsia" w:ascii="仿宋" w:hAnsi="仿宋" w:eastAsia="仿宋" w:cs="仿宋"/>
          <w:color w:val="auto"/>
          <w:sz w:val="32"/>
          <w:szCs w:val="32"/>
          <w:lang w:val="en-US" w:eastAsia="zh-CN"/>
        </w:rPr>
        <w:t>梳理、</w:t>
      </w:r>
      <w:r>
        <w:rPr>
          <w:rFonts w:hint="eastAsia" w:ascii="仿宋" w:hAnsi="仿宋" w:eastAsia="仿宋" w:cs="仿宋"/>
          <w:color w:val="auto"/>
          <w:sz w:val="32"/>
          <w:szCs w:val="32"/>
        </w:rPr>
        <w:t>通报。</w:t>
      </w:r>
      <w:r>
        <w:rPr>
          <w:rFonts w:hint="eastAsia" w:ascii="仿宋" w:hAnsi="仿宋" w:eastAsia="仿宋" w:cs="仿宋"/>
          <w:color w:val="auto"/>
          <w:sz w:val="32"/>
          <w:szCs w:val="32"/>
          <w:lang w:val="en-US" w:eastAsia="zh-CN"/>
        </w:rPr>
        <w:t>并</w:t>
      </w:r>
      <w:r>
        <w:rPr>
          <w:rFonts w:hint="eastAsia" w:ascii="仿宋" w:hAnsi="仿宋" w:eastAsia="仿宋" w:cs="仿宋"/>
          <w:color w:val="auto"/>
          <w:sz w:val="32"/>
          <w:szCs w:val="32"/>
        </w:rPr>
        <w:t>加强业务人员和管理人员的培训和交流，</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开展公文处理、信息简报写作等培训，提高撰稿人员水平</w:t>
      </w:r>
      <w:r>
        <w:rPr>
          <w:rFonts w:hint="eastAsia" w:ascii="仿宋" w:hAnsi="仿宋" w:eastAsia="仿宋" w:cs="仿宋"/>
          <w:color w:val="auto"/>
          <w:sz w:val="32"/>
          <w:szCs w:val="32"/>
          <w:lang w:eastAsia="zh-CN"/>
        </w:rPr>
        <w:t>。同时，建立微信工作群，对日常发现的问题及时提醒，督促立行立改，形成了快速响应的上下协调联动机制，极大地提高了工作效率，</w:t>
      </w:r>
      <w:r>
        <w:rPr>
          <w:rFonts w:hint="eastAsia" w:ascii="仿宋" w:hAnsi="仿宋" w:eastAsia="仿宋" w:cs="仿宋"/>
          <w:color w:val="auto"/>
          <w:sz w:val="32"/>
          <w:szCs w:val="32"/>
        </w:rPr>
        <w:t>不断促进政务公开工作再上新台阶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本年度共组织业务培训两次。</w:t>
      </w:r>
    </w:p>
    <w:p>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（二）依申请公开情况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年，街道共收到政府信息公开申请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件，网站提交形式申请</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件，信函提交形式</w:t>
      </w:r>
      <w:r>
        <w:rPr>
          <w:rFonts w:hint="eastAsia" w:ascii="仿宋_GB2312" w:hAnsi="仿宋_GB2312" w:eastAsia="仿宋_GB2312" w:cs="仿宋_GB2312"/>
          <w:sz w:val="32"/>
          <w:szCs w:val="32"/>
          <w:lang w:val="en-US" w:eastAsia="zh-CN"/>
        </w:rPr>
        <w:t>1件</w:t>
      </w:r>
      <w:r>
        <w:rPr>
          <w:rFonts w:hint="eastAsia" w:ascii="仿宋_GB2312" w:hAnsi="仿宋_GB2312" w:eastAsia="仿宋_GB2312" w:cs="仿宋_GB2312"/>
          <w:sz w:val="32"/>
          <w:szCs w:val="32"/>
        </w:rPr>
        <w:t>。申请内容主要涉及村庄改造、农村集体经济等方面。依申请公开件中，按申请人要求予以公开的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件；属于</w:t>
      </w:r>
      <w:r>
        <w:rPr>
          <w:rFonts w:hint="eastAsia" w:ascii="仿宋_GB2312" w:hAnsi="仿宋_GB2312" w:eastAsia="仿宋_GB2312" w:cs="仿宋_GB2312"/>
          <w:sz w:val="32"/>
          <w:szCs w:val="32"/>
          <w:lang w:val="en-US" w:eastAsia="zh-CN"/>
        </w:rPr>
        <w:t>行政机关内部事务信息可以不予公开的1</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不属于本行政机关负责公开的1件；</w:t>
      </w:r>
      <w:r>
        <w:rPr>
          <w:rFonts w:hint="eastAsia" w:ascii="仿宋_GB2312" w:hAnsi="仿宋_GB2312" w:eastAsia="仿宋_GB2312" w:cs="仿宋_GB2312"/>
          <w:sz w:val="32"/>
          <w:szCs w:val="32"/>
        </w:rPr>
        <w:t>依申请公开均已按时答复申请人。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创新创优情况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1.2020年12月02日，</w:t>
      </w:r>
      <w:r>
        <w:rPr>
          <w:rFonts w:hint="eastAsia" w:ascii="仿宋" w:hAnsi="仿宋" w:eastAsia="仿宋" w:cs="仿宋"/>
          <w:color w:val="auto"/>
          <w:sz w:val="32"/>
          <w:szCs w:val="32"/>
          <w:lang w:eastAsia="zh-CN"/>
        </w:rPr>
        <w:t>珠海街道党工委副书记、办事处主任韩峰做客西海岸城市生活广播《行风热线》节目，在线听取大家的意见和建议，</w:t>
      </w:r>
      <w:r>
        <w:rPr>
          <w:rFonts w:hint="eastAsia" w:ascii="仿宋" w:hAnsi="仿宋" w:eastAsia="仿宋" w:cs="仿宋"/>
          <w:color w:val="auto"/>
          <w:sz w:val="32"/>
          <w:szCs w:val="32"/>
          <w:lang w:val="en-US" w:eastAsia="zh-CN"/>
        </w:rPr>
        <w:t>并</w:t>
      </w:r>
      <w:r>
        <w:rPr>
          <w:rFonts w:hint="eastAsia" w:ascii="仿宋" w:hAnsi="仿宋" w:eastAsia="仿宋" w:cs="仿宋"/>
          <w:color w:val="auto"/>
          <w:sz w:val="32"/>
          <w:szCs w:val="32"/>
        </w:rPr>
        <w:t>对辖区群众反应的问题进行网络解答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社会关注度高，收到良好反响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同时，</w:t>
      </w:r>
      <w:r>
        <w:rPr>
          <w:rFonts w:hint="eastAsia" w:ascii="仿宋" w:hAnsi="仿宋" w:eastAsia="仿宋" w:cs="仿宋"/>
          <w:color w:val="auto"/>
          <w:sz w:val="32"/>
          <w:szCs w:val="32"/>
          <w:lang w:val="en-US" w:eastAsia="zh-CN"/>
        </w:rPr>
        <w:t>街道在</w:t>
      </w:r>
      <w:r>
        <w:rPr>
          <w:rFonts w:hint="eastAsia" w:ascii="仿宋" w:hAnsi="仿宋" w:eastAsia="仿宋" w:cs="仿宋"/>
          <w:color w:val="auto"/>
          <w:sz w:val="32"/>
          <w:szCs w:val="32"/>
        </w:rPr>
        <w:t>微信公众号、微博公众号</w:t>
      </w:r>
      <w:r>
        <w:rPr>
          <w:rFonts w:hint="eastAsia" w:ascii="仿宋" w:hAnsi="仿宋" w:eastAsia="仿宋" w:cs="仿宋"/>
          <w:color w:val="auto"/>
          <w:sz w:val="32"/>
          <w:szCs w:val="32"/>
          <w:lang w:val="en-US" w:eastAsia="zh-CN"/>
        </w:rPr>
        <w:t>等政务新媒体平台</w:t>
      </w:r>
      <w:r>
        <w:rPr>
          <w:rFonts w:hint="eastAsia" w:ascii="仿宋" w:hAnsi="仿宋" w:eastAsia="仿宋" w:cs="仿宋"/>
          <w:color w:val="auto"/>
          <w:sz w:val="32"/>
          <w:szCs w:val="32"/>
        </w:rPr>
        <w:t>，主动推</w:t>
      </w:r>
      <w:r>
        <w:rPr>
          <w:rFonts w:hint="eastAsia" w:ascii="仿宋" w:hAnsi="仿宋" w:eastAsia="仿宋" w:cs="仿宋"/>
          <w:color w:val="auto"/>
          <w:sz w:val="32"/>
          <w:szCs w:val="32"/>
          <w:lang w:val="en-US" w:eastAsia="zh-CN"/>
        </w:rPr>
        <w:t>送</w:t>
      </w:r>
      <w:r>
        <w:rPr>
          <w:rFonts w:hint="eastAsia" w:ascii="仿宋" w:hAnsi="仿宋" w:eastAsia="仿宋" w:cs="仿宋"/>
          <w:color w:val="auto"/>
          <w:sz w:val="32"/>
          <w:szCs w:val="32"/>
        </w:rPr>
        <w:t>群众关切的各项政务信息和动态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全方位立体式构建政务公开体系。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群众参与</w:t>
      </w:r>
      <w:r>
        <w:rPr>
          <w:rFonts w:hint="eastAsia" w:ascii="仿宋" w:hAnsi="仿宋" w:eastAsia="仿宋" w:cs="仿宋"/>
          <w:color w:val="auto"/>
          <w:sz w:val="32"/>
          <w:szCs w:val="32"/>
          <w:lang w:val="en-US" w:eastAsia="zh-CN"/>
        </w:rPr>
        <w:t>政务公开</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珠海街道</w:t>
      </w:r>
      <w:r>
        <w:rPr>
          <w:rFonts w:hint="eastAsia" w:ascii="仿宋" w:hAnsi="仿宋" w:eastAsia="仿宋" w:cs="仿宋"/>
          <w:color w:val="auto"/>
          <w:sz w:val="32"/>
          <w:szCs w:val="32"/>
        </w:rPr>
        <w:t>组织开展“</w:t>
      </w:r>
      <w:r>
        <w:rPr>
          <w:rFonts w:hint="eastAsia" w:ascii="仿宋" w:hAnsi="仿宋" w:eastAsia="仿宋" w:cs="仿宋"/>
          <w:color w:val="auto"/>
          <w:sz w:val="32"/>
          <w:szCs w:val="32"/>
          <w:lang w:val="en-US" w:eastAsia="zh-CN"/>
        </w:rPr>
        <w:t>政务公开日</w:t>
      </w:r>
      <w:r>
        <w:rPr>
          <w:rFonts w:hint="eastAsia" w:ascii="仿宋" w:hAnsi="仿宋" w:eastAsia="仿宋" w:cs="仿宋"/>
          <w:color w:val="auto"/>
          <w:sz w:val="32"/>
          <w:szCs w:val="32"/>
        </w:rPr>
        <w:t>”，拉近与民心的距离，让市民享有知情权、参与权和监督权。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3.推进“最多跑一次”改革，帮办代办服务再上新台阶。</w:t>
      </w:r>
      <w:r>
        <w:rPr>
          <w:rFonts w:hint="eastAsia" w:ascii="仿宋" w:hAnsi="仿宋" w:eastAsia="仿宋" w:cs="仿宋"/>
          <w:color w:val="auto"/>
          <w:sz w:val="32"/>
          <w:szCs w:val="32"/>
        </w:rPr>
        <w:t>建立重大项目代办制度，创建帮办代办中心，组建专业化代办队伍，提供接洽、联系、申请、办结等全流程服务。创建基层服务试点，安排专人负责审批材料的采集、报送、反馈，让数据多跑路，让群众少跑腿。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4.定期开展"政策宣传周"活动，送财政法规、惠民惠企政策进基层、进社区、进企业。随着公开内容不断细化、公开方式不断优化，有效保障了社会公众对财政情况的知情权、参与权、表达权和监督权。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（四）建议提案办理情况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2020</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珠海街道在</w:t>
      </w:r>
      <w:r>
        <w:rPr>
          <w:rFonts w:hint="eastAsia" w:ascii="仿宋" w:hAnsi="仿宋" w:eastAsia="仿宋" w:cs="仿宋"/>
          <w:color w:val="auto"/>
          <w:sz w:val="32"/>
          <w:szCs w:val="32"/>
          <w:lang w:val="en-US" w:eastAsia="zh-CN"/>
        </w:rPr>
        <w:t>区</w:t>
      </w:r>
      <w:r>
        <w:rPr>
          <w:rFonts w:hint="eastAsia" w:ascii="仿宋" w:hAnsi="仿宋" w:eastAsia="仿宋" w:cs="仿宋"/>
          <w:color w:val="auto"/>
          <w:sz w:val="32"/>
          <w:szCs w:val="32"/>
        </w:rPr>
        <w:t>二届</w:t>
      </w:r>
      <w:r>
        <w:rPr>
          <w:rFonts w:hint="eastAsia" w:ascii="仿宋" w:hAnsi="仿宋" w:eastAsia="仿宋" w:cs="仿宋"/>
          <w:color w:val="auto"/>
          <w:sz w:val="32"/>
          <w:szCs w:val="32"/>
          <w:lang w:val="en-US" w:eastAsia="zh-CN"/>
        </w:rPr>
        <w:t>人大五</w:t>
      </w:r>
      <w:r>
        <w:rPr>
          <w:rFonts w:hint="eastAsia" w:ascii="仿宋" w:hAnsi="仿宋" w:eastAsia="仿宋" w:cs="仿宋"/>
          <w:color w:val="auto"/>
          <w:sz w:val="32"/>
          <w:szCs w:val="32"/>
        </w:rPr>
        <w:t>次会议提出代表建议</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政协委员提出建议17条，</w:t>
      </w:r>
      <w:r>
        <w:rPr>
          <w:rFonts w:hint="eastAsia" w:ascii="仿宋" w:hAnsi="仿宋" w:eastAsia="仿宋" w:cs="仿宋"/>
          <w:color w:val="auto"/>
          <w:sz w:val="32"/>
          <w:szCs w:val="32"/>
        </w:rPr>
        <w:t>办复率</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落实率均为100%。</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olor w:val="auto"/>
          <w:sz w:val="16"/>
          <w:szCs w:val="16"/>
        </w:rPr>
      </w:pPr>
      <w:r>
        <w:rPr>
          <w:rFonts w:hint="eastAsia" w:ascii="黑体" w:hAnsi="黑体" w:eastAsia="黑体"/>
          <w:color w:val="auto"/>
          <w:sz w:val="32"/>
          <w:szCs w:val="32"/>
          <w:lang w:val="en-US" w:eastAsia="zh-CN"/>
        </w:rPr>
        <w:t>二、</w:t>
      </w:r>
      <w:r>
        <w:rPr>
          <w:rFonts w:hint="eastAsia" w:ascii="黑体" w:hAnsi="黑体" w:eastAsia="黑体"/>
          <w:color w:val="auto"/>
          <w:sz w:val="32"/>
          <w:szCs w:val="32"/>
        </w:rPr>
        <w:t>主动公开政府信息情况</w:t>
      </w:r>
    </w:p>
    <w:tbl>
      <w:tblPr>
        <w:tblStyle w:val="4"/>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0"/>
        <w:gridCol w:w="2098"/>
        <w:gridCol w:w="2133"/>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039" w:type="dxa"/>
            <w:gridSpan w:val="4"/>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40"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信息内容</w:t>
            </w:r>
          </w:p>
        </w:tc>
        <w:tc>
          <w:tcPr>
            <w:tcW w:w="209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上一年项目数量</w:t>
            </w:r>
          </w:p>
        </w:tc>
        <w:tc>
          <w:tcPr>
            <w:tcW w:w="2133" w:type="dxa"/>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本年增/减</w:t>
            </w:r>
          </w:p>
        </w:tc>
        <w:tc>
          <w:tcPr>
            <w:tcW w:w="226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2540"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行政许可</w:t>
            </w:r>
          </w:p>
        </w:tc>
        <w:tc>
          <w:tcPr>
            <w:tcW w:w="209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（20</w:t>
            </w:r>
            <w:r>
              <w:rPr>
                <w:rFonts w:hint="eastAsia" w:ascii="黑体" w:hAnsi="黑体" w:eastAsia="黑体"/>
                <w:color w:val="auto"/>
                <w:sz w:val="22"/>
                <w:szCs w:val="22"/>
                <w:lang w:val="en-US" w:eastAsia="zh-CN"/>
              </w:rPr>
              <w:t>19</w:t>
            </w:r>
            <w:r>
              <w:rPr>
                <w:rFonts w:hint="eastAsia" w:ascii="黑体" w:hAnsi="黑体" w:eastAsia="黑体"/>
                <w:color w:val="auto"/>
                <w:sz w:val="22"/>
                <w:szCs w:val="22"/>
              </w:rPr>
              <w:t>的行政许可事项的数量）以下同本栏</w:t>
            </w:r>
          </w:p>
        </w:tc>
        <w:tc>
          <w:tcPr>
            <w:tcW w:w="2133"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20</w:t>
            </w:r>
            <w:r>
              <w:rPr>
                <w:rFonts w:hint="eastAsia" w:ascii="黑体" w:hAnsi="黑体" w:eastAsia="黑体"/>
                <w:color w:val="auto"/>
                <w:sz w:val="22"/>
                <w:szCs w:val="22"/>
                <w:lang w:val="en-US" w:eastAsia="zh-CN"/>
              </w:rPr>
              <w:t>20</w:t>
            </w:r>
            <w:r>
              <w:rPr>
                <w:rFonts w:hint="eastAsia" w:ascii="黑体" w:hAnsi="黑体" w:eastAsia="黑体"/>
                <w:color w:val="auto"/>
                <w:sz w:val="22"/>
                <w:szCs w:val="22"/>
              </w:rPr>
              <w:t>年增减数量</w:t>
            </w:r>
          </w:p>
        </w:tc>
        <w:tc>
          <w:tcPr>
            <w:tcW w:w="226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20</w:t>
            </w:r>
            <w:r>
              <w:rPr>
                <w:rFonts w:hint="eastAsia" w:ascii="黑体" w:hAnsi="黑体" w:eastAsia="黑体"/>
                <w:color w:val="auto"/>
                <w:sz w:val="22"/>
                <w:szCs w:val="22"/>
                <w:lang w:val="en-US" w:eastAsia="zh-CN"/>
              </w:rPr>
              <w:t>20</w:t>
            </w:r>
            <w:r>
              <w:rPr>
                <w:rFonts w:hint="eastAsia" w:ascii="黑体" w:hAnsi="黑体" w:eastAsia="黑体"/>
                <w:color w:val="auto"/>
                <w:sz w:val="22"/>
                <w:szCs w:val="22"/>
              </w:rPr>
              <w:t>年作出的行政许可决定数量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2540"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其他对外管理服务事项</w:t>
            </w:r>
          </w:p>
        </w:tc>
        <w:tc>
          <w:tcPr>
            <w:tcW w:w="209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133"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26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9039" w:type="dxa"/>
            <w:gridSpan w:val="4"/>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2540"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信息内容</w:t>
            </w:r>
          </w:p>
        </w:tc>
        <w:tc>
          <w:tcPr>
            <w:tcW w:w="209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上一年项目数量</w:t>
            </w:r>
          </w:p>
        </w:tc>
        <w:tc>
          <w:tcPr>
            <w:tcW w:w="2133" w:type="dxa"/>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本年增/减</w:t>
            </w:r>
          </w:p>
        </w:tc>
        <w:tc>
          <w:tcPr>
            <w:tcW w:w="226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2540"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行政处罚</w:t>
            </w:r>
          </w:p>
        </w:tc>
        <w:tc>
          <w:tcPr>
            <w:tcW w:w="209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133"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26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2540"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行政强制</w:t>
            </w:r>
          </w:p>
        </w:tc>
        <w:tc>
          <w:tcPr>
            <w:tcW w:w="209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133"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226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039" w:type="dxa"/>
            <w:gridSpan w:val="4"/>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540"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信息内容</w:t>
            </w:r>
          </w:p>
        </w:tc>
        <w:tc>
          <w:tcPr>
            <w:tcW w:w="209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上一年项目数量</w:t>
            </w:r>
          </w:p>
        </w:tc>
        <w:tc>
          <w:tcPr>
            <w:tcW w:w="4401" w:type="dxa"/>
            <w:gridSpan w:val="2"/>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本年增/减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2540"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行政事业性收费</w:t>
            </w:r>
          </w:p>
        </w:tc>
        <w:tc>
          <w:tcPr>
            <w:tcW w:w="209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4401" w:type="dxa"/>
            <w:gridSpan w:val="2"/>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9039" w:type="dxa"/>
            <w:gridSpan w:val="4"/>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第二十条第（九）项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2540"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信息内容</w:t>
            </w:r>
          </w:p>
        </w:tc>
        <w:tc>
          <w:tcPr>
            <w:tcW w:w="209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采购项目数量</w:t>
            </w:r>
          </w:p>
        </w:tc>
        <w:tc>
          <w:tcPr>
            <w:tcW w:w="4401" w:type="dxa"/>
            <w:gridSpan w:val="2"/>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采购总金额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540"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rPr>
            </w:pPr>
            <w:r>
              <w:rPr>
                <w:rFonts w:hint="eastAsia" w:ascii="黑体" w:hAnsi="黑体" w:eastAsia="黑体"/>
                <w:color w:val="auto"/>
                <w:sz w:val="22"/>
                <w:szCs w:val="22"/>
              </w:rPr>
              <w:t>政府集中采购</w:t>
            </w:r>
          </w:p>
        </w:tc>
        <w:tc>
          <w:tcPr>
            <w:tcW w:w="2098" w:type="dxa"/>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4401" w:type="dxa"/>
            <w:gridSpan w:val="2"/>
            <w:noWrap/>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bl>
    <w:p>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ascii="黑体" w:hAnsi="黑体" w:eastAsia="黑体"/>
          <w:color w:val="auto"/>
          <w:sz w:val="32"/>
          <w:szCs w:val="32"/>
        </w:rPr>
      </w:pPr>
      <w:r>
        <w:rPr>
          <w:rFonts w:hint="eastAsia" w:ascii="黑体" w:hAnsi="黑体" w:eastAsia="黑体"/>
          <w:color w:val="auto"/>
          <w:sz w:val="32"/>
          <w:szCs w:val="32"/>
        </w:rPr>
        <w:t>三、收到和处理政府信息公开申请情况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6"/>
        <w:gridCol w:w="876"/>
        <w:gridCol w:w="2063"/>
        <w:gridCol w:w="807"/>
        <w:gridCol w:w="750"/>
        <w:gridCol w:w="750"/>
        <w:gridCol w:w="807"/>
        <w:gridCol w:w="965"/>
        <w:gridCol w:w="707"/>
        <w:gridCol w:w="6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95"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（本列数据的勾稽关系为：第一项加第二项之和，等于第三项加第四项之和）</w:t>
            </w:r>
          </w:p>
        </w:tc>
        <w:tc>
          <w:tcPr>
            <w:tcW w:w="5476"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9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07"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自然人</w:t>
            </w:r>
          </w:p>
        </w:tc>
        <w:tc>
          <w:tcPr>
            <w:tcW w:w="3979"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法人或其他组织</w:t>
            </w:r>
          </w:p>
        </w:tc>
        <w:tc>
          <w:tcPr>
            <w:tcW w:w="69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9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07"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商业企业</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科研机构</w:t>
            </w:r>
          </w:p>
        </w:tc>
        <w:tc>
          <w:tcPr>
            <w:tcW w:w="80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社会公益组织</w:t>
            </w:r>
          </w:p>
        </w:tc>
        <w:tc>
          <w:tcPr>
            <w:tcW w:w="96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法律服务机构</w:t>
            </w:r>
          </w:p>
        </w:tc>
        <w:tc>
          <w:tcPr>
            <w:tcW w:w="70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其他</w:t>
            </w:r>
          </w:p>
        </w:tc>
        <w:tc>
          <w:tcPr>
            <w:tcW w:w="69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9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一、本年新收政府信息公开申请数量</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5</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9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二、上年结转政府信息公开申请数量</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三、本年度办理结果</w:t>
            </w:r>
          </w:p>
        </w:tc>
        <w:tc>
          <w:tcPr>
            <w:tcW w:w="2939"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ascii="黑体" w:hAnsi="黑体" w:eastAsia="黑体"/>
                <w:color w:val="auto"/>
                <w:sz w:val="22"/>
                <w:szCs w:val="22"/>
              </w:rPr>
              <w:t>（一）予以公开</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3</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9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939"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（二）部分公开（区分处理的，只计这一情形，不计其他情形）</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（三）不予公开</w:t>
            </w: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1.属于国家秘密</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9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2.其他法律行政法规禁止公开</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3.危及“三安全一稳定”</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4.保护第三方合法权益</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5.属于三类内部事务信息</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1</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6.属于四类过程性信息</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7.属于行政执法案卷</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8.属于行政查询事项</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（四）无法提供</w:t>
            </w: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1.本机关不掌握相关政府信息</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1</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2.没有现成信息需要另行制作</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3.补正后申请内容仍不明确</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（五）不予处理</w:t>
            </w: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1.信访举报投诉类申请</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2.重复申请</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3.要求提供公开出版物</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4.无正当理由大量反复申请</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87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0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5.要求行政机关确认或重新出具已获取信息</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939"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（六）其他处理</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2939"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（七）总计</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eastAsia="zh-CN"/>
              </w:rPr>
            </w:pPr>
            <w:r>
              <w:rPr>
                <w:rFonts w:hint="eastAsia" w:eastAsia="黑体"/>
                <w:color w:val="auto"/>
                <w:sz w:val="22"/>
                <w:szCs w:val="22"/>
                <w:lang w:val="en-US" w:eastAsia="zh-CN"/>
              </w:rPr>
              <w:t>5</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9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r>
              <w:rPr>
                <w:rFonts w:hint="eastAsia" w:ascii="黑体" w:hAnsi="黑体" w:eastAsia="黑体"/>
                <w:color w:val="auto"/>
                <w:sz w:val="22"/>
                <w:szCs w:val="22"/>
              </w:rPr>
              <w:t>四、结转下年度继续办理</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eastAsia="zh-CN"/>
              </w:rPr>
            </w:pPr>
            <w:r>
              <w:rPr>
                <w:rFonts w:hint="eastAsia"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8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9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7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eastAsia="zh-CN"/>
              </w:rPr>
            </w:pPr>
            <w:r>
              <w:rPr>
                <w:rFonts w:hint="eastAsia" w:eastAsia="黑体"/>
                <w:color w:val="auto"/>
                <w:sz w:val="22"/>
                <w:szCs w:val="22"/>
                <w:lang w:val="en-US" w:eastAsia="zh-CN"/>
              </w:rPr>
              <w:t>0</w:t>
            </w:r>
          </w:p>
        </w:tc>
      </w:tr>
    </w:tbl>
    <w:p>
      <w:pPr>
        <w:keepNext w:val="0"/>
        <w:keepLines w:val="0"/>
        <w:pageBreakBefore w:val="0"/>
        <w:kinsoku/>
        <w:wordWrap/>
        <w:overflowPunct/>
        <w:topLinePunct w:val="0"/>
        <w:autoSpaceDE/>
        <w:autoSpaceDN/>
        <w:bidi w:val="0"/>
        <w:snapToGrid w:val="0"/>
        <w:spacing w:line="560" w:lineRule="exact"/>
        <w:ind w:firstLine="440"/>
        <w:jc w:val="left"/>
        <w:textAlignment w:val="auto"/>
        <w:rPr>
          <w:rFonts w:hint="eastAsia" w:ascii="黑体" w:hAnsi="黑体" w:eastAsia="黑体"/>
          <w:color w:val="auto"/>
          <w:sz w:val="32"/>
          <w:szCs w:val="32"/>
        </w:rPr>
      </w:pPr>
      <w:r>
        <w:rPr>
          <w:rFonts w:hint="eastAsia" w:ascii="仿宋_GB2312" w:hAnsi="宋体" w:eastAsia="仿宋_GB2312" w:cs="宋体"/>
          <w:color w:val="auto"/>
          <w:kern w:val="0"/>
          <w:sz w:val="22"/>
          <w:szCs w:val="22"/>
          <w:shd w:val="clear" w:color="auto" w:fill="FFFFFF"/>
        </w:rPr>
        <w:t>注：“其他处理”项目，主要是考虑新旧条例执行衔接以及极少数特殊情况。原则上，所有的政府信息公开申请，都应当按照法定的处理方式做出处理。</w:t>
      </w:r>
    </w:p>
    <w:p>
      <w:pPr>
        <w:keepNext w:val="0"/>
        <w:keepLines w:val="0"/>
        <w:pageBreakBefore w:val="0"/>
        <w:kinsoku/>
        <w:wordWrap/>
        <w:overflowPunct/>
        <w:topLinePunct w:val="0"/>
        <w:autoSpaceDE/>
        <w:autoSpaceDN/>
        <w:bidi w:val="0"/>
        <w:snapToGrid w:val="0"/>
        <w:spacing w:line="560" w:lineRule="exact"/>
        <w:ind w:firstLine="440"/>
        <w:jc w:val="left"/>
        <w:textAlignment w:val="auto"/>
        <w:rPr>
          <w:rFonts w:ascii="黑体" w:hAnsi="黑体" w:eastAsia="黑体"/>
          <w:color w:val="auto"/>
          <w:sz w:val="32"/>
          <w:szCs w:val="32"/>
        </w:rPr>
      </w:pPr>
      <w:r>
        <w:rPr>
          <w:rFonts w:hint="eastAsia" w:ascii="黑体" w:hAnsi="黑体" w:eastAsia="黑体"/>
          <w:color w:val="auto"/>
          <w:sz w:val="32"/>
          <w:szCs w:val="32"/>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ascii="黑体" w:hAnsi="黑体" w:eastAsia="黑体"/>
                <w:color w:val="auto"/>
                <w:sz w:val="22"/>
                <w:szCs w:val="22"/>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auto"/>
                <w:sz w:val="22"/>
                <w:szCs w:val="22"/>
              </w:rPr>
            </w:pPr>
            <w:r>
              <w:rPr>
                <w:rFonts w:hint="eastAsia" w:ascii="黑体" w:hAnsi="黑体" w:eastAsia="黑体"/>
                <w:color w:val="auto"/>
                <w:sz w:val="22"/>
                <w:szCs w:val="2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eastAsia="黑体"/>
                <w:color w:val="auto"/>
                <w:sz w:val="22"/>
                <w:szCs w:val="22"/>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1</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1</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olor w:val="auto"/>
                <w:sz w:val="22"/>
                <w:szCs w:val="22"/>
                <w:lang w:val="en-US" w:eastAsia="zh-CN"/>
              </w:rPr>
            </w:pPr>
            <w:r>
              <w:rPr>
                <w:rFonts w:hint="eastAsia" w:ascii="黑体" w:hAnsi="黑体" w:eastAsia="黑体"/>
                <w:color w:val="auto"/>
                <w:sz w:val="22"/>
                <w:szCs w:val="22"/>
                <w:lang w:val="en-US" w:eastAsia="zh-CN"/>
              </w:rPr>
              <w:t>2</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olor w:val="auto"/>
                <w:sz w:val="22"/>
                <w:szCs w:val="22"/>
                <w:lang w:val="en-US" w:eastAsia="zh-CN"/>
              </w:rPr>
            </w:pPr>
            <w:r>
              <w:rPr>
                <w:rFonts w:hint="eastAsia" w:ascii="黑体" w:hAnsi="黑体" w:eastAsia="黑体"/>
                <w:color w:val="auto"/>
                <w:sz w:val="22"/>
                <w:szCs w:val="22"/>
                <w:lang w:val="en-US" w:eastAsia="zh-CN"/>
              </w:rPr>
              <w:t>0</w:t>
            </w:r>
          </w:p>
        </w:tc>
      </w:tr>
    </w:tbl>
    <w:p>
      <w:pP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注：行政复议机关作为共同被告的行政诉讼案件，只计算原行为主体的案件数量，不计算行政复议机关的案件数量。</w:t>
      </w:r>
    </w:p>
    <w:p>
      <w:pPr>
        <w:ind w:firstLine="320" w:firstLineChars="100"/>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（一）存在的</w:t>
      </w:r>
      <w:r>
        <w:rPr>
          <w:rFonts w:hint="eastAsia" w:ascii="楷体_GB2312" w:hAnsi="楷体_GB2312" w:eastAsia="楷体_GB2312" w:cs="楷体_GB2312"/>
          <w:sz w:val="32"/>
          <w:szCs w:val="32"/>
          <w:lang w:val="en-US" w:eastAsia="zh-CN"/>
        </w:rPr>
        <w:t>主要</w:t>
      </w:r>
      <w:r>
        <w:rPr>
          <w:rFonts w:hint="eastAsia" w:ascii="楷体_GB2312" w:hAnsi="楷体_GB2312" w:eastAsia="楷体_GB2312" w:cs="楷体_GB2312"/>
          <w:sz w:val="32"/>
          <w:szCs w:val="32"/>
        </w:rPr>
        <w:t>问题</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1、村（社区）</w:t>
      </w:r>
      <w:r>
        <w:rPr>
          <w:rFonts w:hint="eastAsia" w:ascii="仿宋_GB2312" w:hAnsi="仿宋_GB2312" w:eastAsia="仿宋_GB2312" w:cs="仿宋_GB2312"/>
          <w:sz w:val="32"/>
          <w:szCs w:val="32"/>
          <w:lang w:val="en-US" w:eastAsia="zh-CN"/>
        </w:rPr>
        <w:t>的政务公开</w:t>
      </w:r>
      <w:r>
        <w:rPr>
          <w:rFonts w:hint="eastAsia" w:ascii="仿宋_GB2312" w:hAnsi="仿宋_GB2312" w:eastAsia="仿宋_GB2312" w:cs="仿宋_GB2312"/>
          <w:sz w:val="32"/>
          <w:szCs w:val="32"/>
        </w:rPr>
        <w:t>参与度仍有待提高</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在政策解读方面创新性有待提高。</w:t>
      </w:r>
    </w:p>
    <w:p>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（二）改进</w:t>
      </w:r>
      <w:r>
        <w:rPr>
          <w:rFonts w:hint="eastAsia" w:ascii="楷体_GB2312" w:hAnsi="楷体_GB2312" w:eastAsia="楷体_GB2312" w:cs="楷体_GB2312"/>
          <w:sz w:val="32"/>
          <w:szCs w:val="32"/>
          <w:lang w:val="en-US" w:eastAsia="zh-CN"/>
        </w:rPr>
        <w:t>情况</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创新探索基层政务公开向村(社区)延伸新模式，不断丰富政务公开内涵外延，构建“组织领导有力、体制机制健全、部门协调顺畅、制度落实规范、村民广泛参与、监督体系完善”基层政务公开体系，全面推进行政权力公开、透明、规范运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创新解读形式。鼓励各部门结合实际，积极探索，创新、拓展社会公众喜闻乐见的解读形式。</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六、其他需要报告的事项</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主要报告本机关认为需要报告的其他事项，以及其他有关文件专门要求通过政府信息公开工作年度报告予以报告的事项。</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color w:val="auto"/>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color w:val="auto"/>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color w:val="auto"/>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color w:val="auto"/>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color w:val="auto"/>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color w:val="auto"/>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color w:val="auto"/>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color w:val="auto"/>
          <w:sz w:val="32"/>
          <w:szCs w:val="32"/>
        </w:rPr>
      </w:pPr>
    </w:p>
    <w:p>
      <w:pPr>
        <w:keepNext w:val="0"/>
        <w:keepLines w:val="0"/>
        <w:pageBreakBefore w:val="0"/>
        <w:kinsoku/>
        <w:wordWrap/>
        <w:overflowPunct/>
        <w:topLinePunct w:val="0"/>
        <w:autoSpaceDE/>
        <w:autoSpaceDN/>
        <w:bidi w:val="0"/>
        <w:spacing w:line="56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青岛西海岸新区珠海街道办事处</w:t>
      </w:r>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年1月</w:t>
      </w:r>
      <w:r>
        <w:rPr>
          <w:rFonts w:hint="eastAsia" w:ascii="仿宋_GB2312" w:hAnsi="仿宋_GB2312" w:eastAsia="仿宋_GB2312" w:cs="仿宋_GB2312"/>
          <w:color w:val="auto"/>
          <w:sz w:val="32"/>
          <w:szCs w:val="32"/>
          <w:lang w:val="en-US" w:eastAsia="zh-CN"/>
        </w:rPr>
        <w:t xml:space="preserve"> 18 </w:t>
      </w:r>
      <w:r>
        <w:rPr>
          <w:rFonts w:hint="eastAsia" w:ascii="仿宋_GB2312" w:hAnsi="仿宋_GB2312" w:eastAsia="仿宋_GB2312" w:cs="仿宋_GB2312"/>
          <w:color w:val="auto"/>
          <w:sz w:val="32"/>
          <w:szCs w:val="32"/>
        </w:rPr>
        <w:t>日</w:t>
      </w:r>
    </w:p>
    <w:p>
      <w:pPr>
        <w:keepNext w:val="0"/>
        <w:keepLines w:val="0"/>
        <w:pageBreakBefore w:val="0"/>
        <w:kinsoku/>
        <w:wordWrap/>
        <w:overflowPunct/>
        <w:topLinePunct w:val="0"/>
        <w:autoSpaceDE/>
        <w:autoSpaceDN/>
        <w:bidi w:val="0"/>
        <w:spacing w:line="56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CE8E"/>
    <w:multiLevelType w:val="singleLevel"/>
    <w:tmpl w:val="13D0CE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75933"/>
    <w:rsid w:val="11D01E30"/>
    <w:rsid w:val="13F75933"/>
    <w:rsid w:val="176971D0"/>
    <w:rsid w:val="1AE94755"/>
    <w:rsid w:val="41AA0F83"/>
    <w:rsid w:val="4E4F2471"/>
    <w:rsid w:val="4E770BFC"/>
    <w:rsid w:val="694F3C44"/>
    <w:rsid w:val="726C0D1B"/>
    <w:rsid w:val="75353C5C"/>
    <w:rsid w:val="7E492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2021-01-15T07:53:00Z</dcterms:created>
  <dc:creator>Krystal</dc:creator>
  <cp:lastModifiedBy>Krystal</cp:lastModifiedBy>
  <cp:lastPrinted>2021-01-18T08:08:00Z</cp:lastPrinted>
  <dcterms:modified xsi:type="dcterms:W3CDTF">2021-01-22T08:45:56Z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314736929_cloud</vt:lpwstr>
  </property>
</Properties>
</file>