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DF163">
      <w:pPr>
        <w:widowControl/>
        <w:spacing w:line="60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val="en-US" w:eastAsia="zh-CN"/>
        </w:rPr>
        <w:t>张家楼街道</w:t>
      </w:r>
      <w:r>
        <w:rPr>
          <w:rFonts w:hint="eastAsia" w:ascii="方正小标宋_GBK" w:hAnsi="方正小标宋_GBK" w:eastAsia="方正小标宋_GBK" w:cs="方正小标宋_GBK"/>
          <w:sz w:val="40"/>
          <w:szCs w:val="40"/>
        </w:rPr>
        <w:t>涉企行政检查事项清单</w:t>
      </w:r>
    </w:p>
    <w:p w14:paraId="0E16FCC6">
      <w:pPr>
        <w:widowControl/>
        <w:spacing w:line="600" w:lineRule="exact"/>
        <w:jc w:val="center"/>
        <w:rPr>
          <w:rFonts w:hint="eastAsia" w:ascii="方正小标宋_GBK" w:hAnsi="方正小标宋_GBK" w:eastAsia="方正小标宋_GBK" w:cs="方正小标宋_GBK"/>
          <w:sz w:val="40"/>
          <w:szCs w:val="40"/>
        </w:rPr>
      </w:pP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75"/>
        <w:gridCol w:w="1073"/>
        <w:gridCol w:w="11919"/>
      </w:tblGrid>
      <w:tr w14:paraId="04FB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5" w:type="dxa"/>
          </w:tcPr>
          <w:p w14:paraId="4C93E2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序号</w:t>
            </w:r>
          </w:p>
        </w:tc>
        <w:tc>
          <w:tcPr>
            <w:tcW w:w="1073" w:type="dxa"/>
            <w:shd w:val="clear"/>
            <w:vAlign w:val="top"/>
          </w:tcPr>
          <w:p w14:paraId="56A69A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2"/>
                <w:sz w:val="30"/>
                <w:szCs w:val="30"/>
                <w:vertAlign w:val="baseline"/>
                <w:lang w:val="en-US" w:eastAsia="zh-CN" w:bidi="ar-SA"/>
              </w:rPr>
            </w:pPr>
            <w:r>
              <w:rPr>
                <w:rFonts w:hint="eastAsia" w:ascii="仿宋_GB2312" w:hAnsi="仿宋_GB2312" w:eastAsia="仿宋_GB2312" w:cs="仿宋_GB2312"/>
                <w:b/>
                <w:bCs/>
                <w:i w:val="0"/>
                <w:iCs w:val="0"/>
                <w:caps w:val="0"/>
                <w:color w:val="42444D"/>
                <w:spacing w:val="0"/>
                <w:sz w:val="30"/>
                <w:szCs w:val="30"/>
                <w:shd w:val="clear" w:fill="FFFFFF"/>
                <w:lang w:val="en-US" w:eastAsia="zh-CN"/>
              </w:rPr>
              <w:t>事项</w:t>
            </w:r>
            <w:r>
              <w:rPr>
                <w:rFonts w:hint="eastAsia" w:ascii="仿宋_GB2312" w:hAnsi="仿宋_GB2312" w:eastAsia="仿宋_GB2312" w:cs="仿宋_GB2312"/>
                <w:b/>
                <w:bCs/>
                <w:i w:val="0"/>
                <w:iCs w:val="0"/>
                <w:caps w:val="0"/>
                <w:color w:val="42444D"/>
                <w:spacing w:val="0"/>
                <w:sz w:val="30"/>
                <w:szCs w:val="30"/>
                <w:shd w:val="clear" w:fill="FFFFFF"/>
              </w:rPr>
              <w:t>名称</w:t>
            </w:r>
          </w:p>
        </w:tc>
        <w:tc>
          <w:tcPr>
            <w:tcW w:w="11919" w:type="dxa"/>
          </w:tcPr>
          <w:p w14:paraId="2EA792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vertAlign w:val="baseline"/>
              </w:rPr>
            </w:pPr>
            <w:r>
              <w:rPr>
                <w:rFonts w:hint="eastAsia" w:ascii="仿宋_GB2312" w:hAnsi="仿宋_GB2312" w:eastAsia="仿宋_GB2312" w:cs="仿宋_GB2312"/>
                <w:b/>
                <w:bCs/>
                <w:i w:val="0"/>
                <w:iCs w:val="0"/>
                <w:caps w:val="0"/>
                <w:color w:val="42444D"/>
                <w:spacing w:val="0"/>
                <w:sz w:val="30"/>
                <w:szCs w:val="30"/>
                <w:shd w:val="clear" w:fill="FFFFFF"/>
              </w:rPr>
              <w:t>设定依据</w:t>
            </w:r>
          </w:p>
        </w:tc>
      </w:tr>
      <w:tr w14:paraId="26C0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5" w:type="dxa"/>
          </w:tcPr>
          <w:p w14:paraId="644BC186">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1</w:t>
            </w:r>
          </w:p>
        </w:tc>
        <w:tc>
          <w:tcPr>
            <w:tcW w:w="1073" w:type="dxa"/>
            <w:shd w:val="clear"/>
            <w:vAlign w:val="top"/>
          </w:tcPr>
          <w:p w14:paraId="2D1E8486">
            <w:pPr>
              <w:rPr>
                <w:rFonts w:hint="eastAsia" w:ascii="仿宋_GB2312" w:hAnsi="仿宋_GB2312" w:eastAsia="仿宋_GB2312" w:cs="仿宋_GB2312"/>
                <w:kern w:val="2"/>
                <w:sz w:val="32"/>
                <w:szCs w:val="32"/>
                <w:vertAlign w:val="baseline"/>
                <w:lang w:val="en-US" w:eastAsia="zh-CN" w:bidi="ar-SA"/>
              </w:rPr>
            </w:pPr>
            <w:r>
              <w:rPr>
                <w:rFonts w:ascii="Segoe UI" w:hAnsi="Segoe UI" w:eastAsia="Segoe UI" w:cs="Segoe UI"/>
                <w:i w:val="0"/>
                <w:iCs w:val="0"/>
                <w:caps w:val="0"/>
                <w:color w:val="42444D"/>
                <w:spacing w:val="0"/>
                <w:sz w:val="21"/>
                <w:szCs w:val="21"/>
                <w:shd w:val="clear" w:fill="FFFFFF"/>
              </w:rPr>
              <w:t>对重点小区物业进行巡查</w:t>
            </w:r>
          </w:p>
        </w:tc>
        <w:tc>
          <w:tcPr>
            <w:tcW w:w="11919" w:type="dxa"/>
          </w:tcPr>
          <w:p w14:paraId="46CE282E">
            <w:pPr>
              <w:rPr>
                <w:rFonts w:hint="eastAsia" w:ascii="仿宋_GB2312" w:hAnsi="仿宋_GB2312" w:eastAsia="仿宋_GB2312" w:cs="仿宋_GB2312"/>
                <w:sz w:val="32"/>
                <w:szCs w:val="32"/>
                <w:vertAlign w:val="baseline"/>
              </w:rPr>
            </w:pPr>
            <w:r>
              <w:rPr>
                <w:rFonts w:ascii="Segoe UI" w:hAnsi="Segoe UI" w:eastAsia="Segoe UI" w:cs="Segoe UI"/>
                <w:i w:val="0"/>
                <w:iCs w:val="0"/>
                <w:caps w:val="0"/>
                <w:color w:val="42444D"/>
                <w:spacing w:val="0"/>
                <w:sz w:val="21"/>
                <w:szCs w:val="21"/>
                <w:shd w:val="clear" w:fill="FFFFFF"/>
              </w:rPr>
              <w:t>【地方性法规】《青岛市物业管理条例》:第五十六条 物业服务人应当积极参与社区建设和社会治理，配合有关主管部门、街道办事处（镇人民政府）、居（村）民委员会做好物业管理相关工作。 执法机关进入物业管理区域依法执行公务时，物业服务人应当配合，不得阻挠。第五十七条 物业服务人应当遵守安全生产、公共卫生、治安、消防、防灾管理等有关公共安全法律、法规的规定，制定物业管理区域安全防范应急预案，在相关部门指导下做好物业管理区域的安全管理工作。 发生安全事故或者其他突发事件时，物业服务人应当及时采取应急措施，并按照规定向有关主管部门或者专营单位报告，协助做好相关工作。^第五十八条 突发事件应对期间，街道办事处（镇人民政府）负责落实市、区（市）人民政府依法采取的各项应急措施；指导物业服务人开展相应级别的应对工作，并给予物资和资金支持。 物业服务人应当按照要求服从政府统一指挥，在街道办事处（镇人民政府）指导下，依法积极配合居（村）民委员会落实应急预案和各项应急措施。 对于物业服务人执行政府依法实施的应急措施和其他管理措施，业主、物业使用人应当依法予以配合。^第五十九条 物业服务人应当在物业管理区域内显著位置设置公示栏，如实公示、及时更新下列信息： (一)营业执照、联系方式以及物业服务投诉电话； (二)物业服务事项和服务标准、收费标准和方式等； (三)电梯、消防等具有专业技术要求的设施设备日常维修保养单位名称、资质、联系方式、维保方案和应急处置方案等； (四)物业服务合同履行情况； (五)业主共有部分经营收益代管情况； (六)其他应当公示的信息。^第六十条 物业服务人及其工作人员不得有下列行为： (一)挪用、侵占共有部分经营收益等共有资金； (二)擅自改变物业服务用房等共有物业用途； (三)违规泄露业主信息或者将业主信息用于与物业服务无关的活动； (四)其他违反相关规定、损害业主利益的行为。^第六十一条 物业服务收费按照国家、省有关规定执行。 物业服务收费实行市场调节价的，应当遵循合理、公开以及费用与服务质量相符的原则，由物业服务合同双方根据物业服务事项范围、服务标准等因素在物业服务合同中约定。市物业主管部门可以会同市价格主管部门制定物业服务收费参考价格，并向社会公布。 物业服务人不得擅自调整物业服务收费标准。^第六十二条 业主应当按照物业服务合同约定的付费方式和标准，按时足额支付物业费。物业服务人已经按照约定和有关规定提供服务的，业主不得以未接受或者无需接受相关服务为由拒绝支付物业费。 业主逾期不支付物业费的，业主委员会应当督促其支付，物业服务人可以催告其在合理期限内支付；合理期限届满仍不支付的，物业服务人可以提起诉讼或者申请仲裁。符合条件的，可以向人民法院申请支付令。 禁止采取中断供水、供电、供气、供热或者限制业主及其车辆出入等方式催收物业服务费用。^第六十三条 物业服务合同约定的物业服务期限届满前，业主依法共同决定续聘或者另聘物业服务人的，应当将决定书面告知原物业服务人。原物业服务人接受续聘的，双方应当在合同期限届满前续订物业服务合同。 物业服务期限届满前，物业服务人决定不再续签物业服务合同的，应当在物业服务合同期限届满九十日前书面通知业主或者业主委员会，但是合同对通知期限另有约定的除外。</w:t>
            </w:r>
          </w:p>
        </w:tc>
      </w:tr>
      <w:tr w14:paraId="2593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5" w:type="dxa"/>
          </w:tcPr>
          <w:p w14:paraId="429B319B">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2</w:t>
            </w:r>
          </w:p>
        </w:tc>
        <w:tc>
          <w:tcPr>
            <w:tcW w:w="1073" w:type="dxa"/>
          </w:tcPr>
          <w:p w14:paraId="6754AB4E">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对工贸企业开展安全生产检查</w:t>
            </w:r>
          </w:p>
        </w:tc>
        <w:tc>
          <w:tcPr>
            <w:tcW w:w="11919" w:type="dxa"/>
          </w:tcPr>
          <w:p w14:paraId="4FD12618">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【宪法法律】《中华人民共和国安全生产法（已修改）》:第五十九条 县级以上地方各级人民政府应当根据本行政区域内的安全生产状况，组织有关部门按照职责分工，对本行政区域内容易发生重大生产安全事故的生产经营单位进行严格检查。 安全生产监督管理部门应当按照分类分级监督管理的要求，制定安全生产年度监督检查计划，并按照年度监督检查计划进行监督检查，发现事故隐患，应当及时处理。第六十二条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 (一)进入生产经营单位进行检查，调阅有关资料，向有关单位和人员了解情况； (二)对检查中发现的安全生产违法行为，当场予以纠正或者要求限期改正；对依法应当给予行政处罚的行为，依照本法和其他有关法律、行政法规的规定作出行政处罚决定；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 监督检查不得影响被检查单位的正常生产经营活动。 【地方性法规】《山东省城乡规划条例（已修改）》:第七十二条 建设单位委托无城乡规划编制资质的单位和个人承担城乡规划编制业务的，由城乡规划主管部门责令改正，处一万元以上三万元以下的罚款。 接受委托的城乡规划编制单位转包城乡规划编制业务的，由城乡规划主管部门责令改正，对其规划编制成果不予审批，没收违法所得，并处一万元以上三万元以下的罚款；情节严重的，降低资质等级或者吊销资质证书。第七十四条 未取得建设工程规划许可证或者未按照建设工程规划许可证的规定进行建设，尚可采取改正措施消除对规划实施的影响的，由城乡规划主管部门责令停止建设，限期改正，处建设工程造价百分之五以上百分之十以下的罚款；无法采取改正措施消除影响的，依法拆除，不能拆除的，没收实物或者违法收入，可以并处建设工程造价百分之十以下的罚款。 前款所称无法采取改正措施消除影响应当限期拆除的情形包括： (二)违反建筑间距、建筑退让等技术规范、标准或者规划条件确定的强制性内容进行建设的； (三)擅自占用物业管理区域内业主共有的道路、绿地或者其他场地进行建设的； (四)擅自在建筑物顶部、底层或者退层平台进行建设的； (五)其他对规划实施造成严重影响的违法建设行为。 (一)擅自占用规划确定的道路、广场、绿地、河湖水面、海岸带、轨道交通、公交场站、燃气设施、供热设施、给水排水设施、公共服务设施用地等进行建设的； 【地方性法规】《山东省安全生产条例（已修改）》:第四条 县级以上人民政府应当加强对安全生产工作的领导，根据国民经济和社会发展规划制定安全生产规划并组织实施，明确部门安全生产工作职责，支持、督促有关部门依法履行安全生产监督管理职责。 乡镇人民政府、街道办事处、开发区管理机构应当设立或者明确安全生产监督管理机构，加强对本行政区域内安全生产工作的监督检查，并协助上级人民政府有关部门依法履行安全生产监督管理职责。 乡镇人民政府、街道办事处应当指导村民委员会、居民委员会落实安全生产措施，推进安全社区建设。</w:t>
            </w:r>
            <w:r>
              <w:rPr>
                <w:rFonts w:hint="default" w:ascii="Segoe UI" w:hAnsi="Segoe UI" w:eastAsia="Segoe UI" w:cs="Segoe UI"/>
                <w:i w:val="0"/>
                <w:iCs w:val="0"/>
                <w:caps w:val="0"/>
                <w:color w:val="42444D"/>
                <w:spacing w:val="0"/>
                <w:sz w:val="21"/>
                <w:szCs w:val="21"/>
                <w:shd w:val="clear" w:fill="FFFFFF"/>
                <w:lang w:val="en-US" w:eastAsia="zh-CN"/>
              </w:rPr>
              <w:t> </w:t>
            </w:r>
          </w:p>
        </w:tc>
      </w:tr>
      <w:tr w14:paraId="751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5" w:type="dxa"/>
          </w:tcPr>
          <w:p w14:paraId="298EC319">
            <w:pPr>
              <w:rPr>
                <w:rFonts w:hint="default"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3</w:t>
            </w:r>
          </w:p>
        </w:tc>
        <w:tc>
          <w:tcPr>
            <w:tcW w:w="1073" w:type="dxa"/>
          </w:tcPr>
          <w:p w14:paraId="209DD01E">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对饭店的餐厨废弃物管理进行巡查</w:t>
            </w:r>
          </w:p>
        </w:tc>
        <w:tc>
          <w:tcPr>
            <w:tcW w:w="11919" w:type="dxa"/>
          </w:tcPr>
          <w:p w14:paraId="232C9977">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【地方政府规章】《山东省餐厨废弃物管理办法》:第二十四条 违反本办法规定，擅自从事餐厨废弃物收集运输、处置活动的，由环境卫生主管部门责令停止违法行为，没收违法所得，对单位处1万元以上3万元以下罚款，对个人处1000元以上5000元以下罚款。第二十五条 违反本办法规定，餐厨废弃物产生单位有下列行为之一的，由环境卫生主管部门责令限期改正；逾期不改正的，对单位处3000元以上2万元以下罚款，对个人处1000元以上5000元以下罚款： (一)将餐厨废弃物交由未签订经营协议的单位或者个人收集运输、处置； (二)未与餐厨废弃物收集运输企业签订收集运输协议； (三)未将餐厨废弃物放入专用收集容器； (四)未按照要求建设隔油池或者安装油水分离器等设施； (五)未执行餐厨废弃物产生台账和产生、收集运输、处置联单制度； (六)未定期向环境卫生主管部门报告餐厨废弃物的产生数量和去向。</w:t>
            </w:r>
          </w:p>
        </w:tc>
      </w:tr>
      <w:tr w14:paraId="2411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75" w:type="dxa"/>
          </w:tcPr>
          <w:p w14:paraId="046860BF">
            <w:pPr>
              <w:rPr>
                <w:rFonts w:hint="default"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4</w:t>
            </w:r>
          </w:p>
        </w:tc>
        <w:tc>
          <w:tcPr>
            <w:tcW w:w="1073" w:type="dxa"/>
          </w:tcPr>
          <w:p w14:paraId="7121EC9D">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对重点施工单位进行巡查</w:t>
            </w:r>
          </w:p>
        </w:tc>
        <w:tc>
          <w:tcPr>
            <w:tcW w:w="11919" w:type="dxa"/>
          </w:tcPr>
          <w:p w14:paraId="539ADCA6">
            <w:pPr>
              <w:rPr>
                <w:rFonts w:hint="eastAsia" w:ascii="Segoe UI" w:hAnsi="Segoe UI" w:eastAsia="Segoe UI" w:cs="Segoe UI"/>
                <w:i w:val="0"/>
                <w:iCs w:val="0"/>
                <w:caps w:val="0"/>
                <w:color w:val="42444D"/>
                <w:spacing w:val="0"/>
                <w:sz w:val="21"/>
                <w:szCs w:val="21"/>
                <w:shd w:val="clear" w:fill="FFFFFF"/>
                <w:lang w:val="en-US" w:eastAsia="zh-CN"/>
              </w:rPr>
            </w:pPr>
            <w:r>
              <w:rPr>
                <w:rFonts w:hint="eastAsia" w:ascii="Segoe UI" w:hAnsi="Segoe UI" w:eastAsia="Segoe UI" w:cs="Segoe UI"/>
                <w:i w:val="0"/>
                <w:iCs w:val="0"/>
                <w:caps w:val="0"/>
                <w:color w:val="42444D"/>
                <w:spacing w:val="0"/>
                <w:sz w:val="21"/>
                <w:szCs w:val="21"/>
                <w:shd w:val="clear" w:fill="FFFFFF"/>
                <w:lang w:val="en-US" w:eastAsia="zh-CN"/>
              </w:rPr>
              <w:t>【地方性法规】《山东省城市建设管理条例》:第三十四条 城市规划区内的建设单位和个人必须按城市建设主管部门的规定，将建筑垃圾清运到规定的垃圾处置场。禁止乱堆、乱倒建筑垃圾。 在城市规划区内运行的装运液体、散装货物的车辆，必须按规定密封、包扎、覆盖，避免泄漏、遗撒。第三十九条 违反本条例规定，有下列行为之一的，由城市建设主管部门或者其他有关部门责令其限期改正，并处以一千元以上二万元以下罚款；对直接负责的主管人员和其他直接责任人员，由其所在单位或者上级主管机关给予处分；造成损失的，应当依法承担赔偿责任： 占用城市主要道路作为集贸市场和停车场及摆摊设点的； 擅自挖掘城市道路的，或者经批准挖掘城市道路后，未及时清理现场并恢复城市道路原状的； 未对设置在城市道路上的各种管线的检查井、箱盖及城市道路附属设施出现的破损、移位或者丢失及时修复、正位或者补缺的； 在集中供热区域内擅自建设分散供热设施的； 在公共供水管道上直接装泵抽水的； 擅自在城市供水、排水、供气、供热管道及设施安全距离范围内修筑建筑物、构筑物和堆放物品的。^第四十一条 违反本条例第三十四条规定，乱堆、乱倒建筑垃圾的，由城市建设主管部门责令其限期清除，并按所堆、所倒垃圾每立方米处以五十元罚款。^第四十二条 违反本条例规定，擅自占用或者毁坏市政公用设施、环卫设施、园林绿地等的，由城市建设主管部门责令其限期退还，恢复原状，并处以一万元以上十万元以下罚款；对直接负责的主管人员和其他直接责任人员，由其所在单位或者上级主管机关给予处分。造成损失的，应当依法承担赔偿责任。构成犯罪的，依法追究刑事责任；尚不构成犯罪，应当给予治安管理处罚的，依照《中华人民共和国治安管理处罚法》的规定予以处罚。 【宪法法律】《中华人民共和国大气污染防治法（已修改）》:第百一十五条 违反本法规定，施工单位有下列行为之一的，由县级以上人民政府住房城乡建设等主管部门按照职责责令改正，处一万元以上十万元以下的罚款；拒不改正的，责令停工整治: (一)施工工地未设置硬质围挡，或者未采取覆盖、分段作业、择时施工、洒水抑尘、冲洗地面和车辆等有效防尘降尘措施的； (二)建筑土方、工程渣土、建筑垃圾未及时清运，或者未采用密闭式防尘网遮盖的。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 【地方性法规】《山东省城乡规划条例（已修改）》:第七十二条 建设单位委托无城乡规划编制资质的单位和个人承担城乡规划编制业务的，由城乡规划主管部门责令改正，处一万元以上三万元以下的罚款。 接受委托的城乡规划编制单位转包城乡规划编制业务的，由城乡规划主管部门责令改正，对其规划编制成果不予审批，没收违法所得，并处一万元以上三万元以下的罚款；情节严重的，降低资质等级或者吊销资质证书。第七十四条 未取得建设工程规划许可证或者未按照建设工程规划许可证的规定进行建设，尚可采取改正措施消除对规划实施的影响的，由城乡规划主管部门责令停止建设，限期改正，处建设工程造价百分之五以上百分之十以下的罚款；无法采取改正措施消除影响的，依法拆除，不能拆除的，没收实物或者违法收入，可以并处建设工程造价百分之十以下的罚款。 前款所称无法采取改正措施消除影响应当限期拆除的情形包括： (二)违反建筑间距、建筑退让等技术规范、标准或者规划条件确定的强制性内容进行建设的； (三)擅自占用物业管理区域内业主共有的道路、绿地或者其他场地进行建设的； (四)擅自在建筑物顶部、底层或者退层平台进行建设的； (五)其他对规划实施造成严重影响的违法建设行为。 (一)擅自占用规划确定的道路、广场、绿地、河湖水面、海岸带、轨道交通、公交场站、燃气设施、供热设施、给水排水设施、公共服务设施用地等进行建设的</w:t>
            </w:r>
          </w:p>
        </w:tc>
      </w:tr>
    </w:tbl>
    <w:p w14:paraId="0F59391A">
      <w:pPr>
        <w:rPr>
          <w:rFonts w:hint="eastAsia" w:ascii="仿宋_GB2312" w:hAnsi="仿宋_GB2312" w:eastAsia="仿宋_GB2312" w:cs="仿宋_GB2312"/>
          <w:sz w:val="32"/>
          <w:szCs w:val="32"/>
        </w:rPr>
      </w:pPr>
    </w:p>
    <w:p w14:paraId="17E946B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单位负责人签字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公章</w:t>
      </w:r>
      <w:r>
        <w:rPr>
          <w:rFonts w:hint="eastAsia" w:ascii="仿宋_GB2312" w:hAnsi="仿宋_GB2312" w:eastAsia="仿宋_GB2312" w:cs="仿宋_GB2312"/>
          <w:sz w:val="32"/>
          <w:szCs w:val="32"/>
          <w:lang w:val="en-US"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947DD"/>
    <w:rsid w:val="5099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2025-04-28T02:22:00Z</dcterms:created>
  <dc:creator>耿耿不于怀</dc:creator>
  <cp:lastModifiedBy>耿耿不于怀</cp:lastModifiedBy>
  <dcterms:modified xsi:type="dcterms:W3CDTF">2025-04-28T02:30:00Z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49894A915E494FDC95D23A563BEC8832_11</vt:lpwstr>
  </property>
  <property fmtid="{D5CDD505-2E9C-101B-9397-08002B2CF9AE}" pid="4" name="KSOTemplateDocerSaveRecord">
    <vt:lpwstr>eyJoZGlkIjoiMDIwN2MzNGQ3M2RjN2E5NjhhMzUzNjU2YmJlYTczMjkiLCJ1c2VySWQiOiI2MzA3NjUzMTgifQ==</vt:lpwstr>
  </property>
</Properties>
</file>